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eastAsiaTheme="minorEastAsia"/>
          <w:lang w:eastAsia="zh-CN"/>
        </w:rPr>
      </w:pPr>
      <w:r>
        <w:rPr>
          <w:rFonts w:hint="eastAsia" w:eastAsiaTheme="minorEastAsia"/>
          <w:lang w:eastAsia="zh-CN"/>
        </w:rPr>
        <w:drawing>
          <wp:inline distT="0" distB="0" distL="114300" distR="114300">
            <wp:extent cx="5267325" cy="7446010"/>
            <wp:effectExtent l="0" t="0" r="9525" b="2540"/>
            <wp:docPr id="1" name="图片 1"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001"/>
                    <pic:cNvPicPr>
                      <a:picLocks noChangeAspect="1"/>
                    </pic:cNvPicPr>
                  </pic:nvPicPr>
                  <pic:blipFill>
                    <a:blip r:embed="rId5"/>
                    <a:stretch>
                      <a:fillRect/>
                    </a:stretch>
                  </pic:blipFill>
                  <pic:spPr>
                    <a:xfrm>
                      <a:off x="0" y="0"/>
                      <a:ext cx="5267325" cy="7446010"/>
                    </a:xfrm>
                    <a:prstGeom prst="rect">
                      <a:avLst/>
                    </a:prstGeom>
                  </pic:spPr>
                </pic:pic>
              </a:graphicData>
            </a:graphic>
          </wp:inline>
        </w:drawing>
      </w: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r>
        <w:rPr>
          <w:rFonts w:hint="eastAsia" w:eastAsiaTheme="minorEastAsia"/>
          <w:lang w:eastAsia="zh-CN"/>
        </w:rPr>
        <w:drawing>
          <wp:inline distT="0" distB="0" distL="114300" distR="114300">
            <wp:extent cx="5267325" cy="7446010"/>
            <wp:effectExtent l="0" t="0" r="9525" b="2540"/>
            <wp:docPr id="2" name="图片 2"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003"/>
                    <pic:cNvPicPr>
                      <a:picLocks noChangeAspect="1"/>
                    </pic:cNvPicPr>
                  </pic:nvPicPr>
                  <pic:blipFill>
                    <a:blip r:embed="rId6"/>
                    <a:stretch>
                      <a:fillRect/>
                    </a:stretch>
                  </pic:blipFill>
                  <pic:spPr>
                    <a:xfrm>
                      <a:off x="0" y="0"/>
                      <a:ext cx="5267325" cy="7446010"/>
                    </a:xfrm>
                    <a:prstGeom prst="rect">
                      <a:avLst/>
                    </a:prstGeom>
                  </pic:spPr>
                </pic:pic>
              </a:graphicData>
            </a:graphic>
          </wp:inline>
        </w:drawing>
      </w: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r>
        <w:rPr>
          <w:rFonts w:hint="eastAsia" w:eastAsiaTheme="minorEastAsia"/>
          <w:lang w:eastAsia="zh-CN"/>
        </w:rPr>
        <w:drawing>
          <wp:inline distT="0" distB="0" distL="114300" distR="114300">
            <wp:extent cx="5267325" cy="7446010"/>
            <wp:effectExtent l="0" t="0" r="9525" b="2540"/>
            <wp:docPr id="3" name="图片 3" desc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002"/>
                    <pic:cNvPicPr>
                      <a:picLocks noChangeAspect="1"/>
                    </pic:cNvPicPr>
                  </pic:nvPicPr>
                  <pic:blipFill>
                    <a:blip r:embed="rId7"/>
                    <a:stretch>
                      <a:fillRect/>
                    </a:stretch>
                  </pic:blipFill>
                  <pic:spPr>
                    <a:xfrm>
                      <a:off x="0" y="0"/>
                      <a:ext cx="5267325" cy="7446010"/>
                    </a:xfrm>
                    <a:prstGeom prst="rect">
                      <a:avLst/>
                    </a:prstGeom>
                  </pic:spPr>
                </pic:pic>
              </a:graphicData>
            </a:graphic>
          </wp:inline>
        </w:drawing>
      </w: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keepNext w:val="0"/>
        <w:keepLines w:val="0"/>
        <w:pageBreakBefore w:val="0"/>
        <w:widowControl/>
        <w:shd w:val="clear" w:color="auto" w:fill="FFFFFF"/>
        <w:kinsoku/>
        <w:wordWrap/>
        <w:overflowPunct/>
        <w:topLinePunct w:val="0"/>
        <w:autoSpaceDE/>
        <w:autoSpaceDN/>
        <w:bidi w:val="0"/>
        <w:adjustRightInd/>
        <w:snapToGrid/>
        <w:spacing w:line="560" w:lineRule="exact"/>
        <w:ind w:right="0" w:rightChars="0"/>
        <w:textAlignment w:val="auto"/>
        <w:outlineLvl w:val="9"/>
        <w:rPr>
          <w:rFonts w:hint="eastAsia" w:ascii="仿宋_GB2312" w:hAnsi="宋体" w:eastAsia="仿宋_GB2312" w:cs="宋体"/>
          <w:bCs/>
          <w:color w:val="000000"/>
          <w:kern w:val="0"/>
          <w:sz w:val="30"/>
          <w:szCs w:val="30"/>
        </w:rPr>
      </w:pPr>
      <w:r>
        <w:rPr>
          <w:rFonts w:hint="eastAsia" w:ascii="仿宋_GB2312" w:hAnsi="宋体" w:eastAsia="仿宋_GB2312" w:cs="宋体"/>
          <w:bCs/>
          <w:color w:val="000000"/>
          <w:kern w:val="0"/>
          <w:sz w:val="30"/>
          <w:szCs w:val="30"/>
        </w:rPr>
        <w:t>附件1：</w:t>
      </w:r>
    </w:p>
    <w:p>
      <w:pPr>
        <w:keepNext w:val="0"/>
        <w:keepLines w:val="0"/>
        <w:pageBreakBefore w:val="0"/>
        <w:widowControl/>
        <w:shd w:val="clear" w:color="auto" w:fill="FFFFFF"/>
        <w:kinsoku/>
        <w:wordWrap/>
        <w:overflowPunct/>
        <w:topLinePunct w:val="0"/>
        <w:autoSpaceDE/>
        <w:autoSpaceDN/>
        <w:bidi w:val="0"/>
        <w:adjustRightInd/>
        <w:snapToGrid/>
        <w:spacing w:line="560" w:lineRule="exact"/>
        <w:ind w:right="0" w:rightChars="0"/>
        <w:jc w:val="center"/>
        <w:textAlignment w:val="auto"/>
        <w:outlineLvl w:val="9"/>
        <w:rPr>
          <w:rFonts w:hint="eastAsia" w:ascii="宋体" w:hAnsi="宋体" w:cs="宋体"/>
          <w:b/>
          <w:bCs/>
          <w:color w:val="000000"/>
          <w:kern w:val="0"/>
          <w:sz w:val="32"/>
          <w:szCs w:val="32"/>
        </w:rPr>
      </w:pPr>
    </w:p>
    <w:p>
      <w:pPr>
        <w:keepNext w:val="0"/>
        <w:keepLines w:val="0"/>
        <w:pageBreakBefore w:val="0"/>
        <w:widowControl/>
        <w:shd w:val="clear" w:color="auto" w:fill="FFFFFF"/>
        <w:kinsoku/>
        <w:wordWrap/>
        <w:overflowPunct/>
        <w:topLinePunct w:val="0"/>
        <w:autoSpaceDE/>
        <w:autoSpaceDN/>
        <w:bidi w:val="0"/>
        <w:adjustRightInd/>
        <w:snapToGrid/>
        <w:spacing w:line="560" w:lineRule="exact"/>
        <w:ind w:right="0" w:rightChars="0"/>
        <w:jc w:val="center"/>
        <w:textAlignment w:val="auto"/>
        <w:outlineLvl w:val="9"/>
        <w:rPr>
          <w:rFonts w:hint="eastAsia" w:ascii="宋体" w:hAnsi="宋体" w:cs="宋体"/>
          <w:b/>
          <w:bCs/>
          <w:color w:val="000000"/>
          <w:kern w:val="0"/>
          <w:sz w:val="32"/>
          <w:szCs w:val="32"/>
        </w:rPr>
      </w:pPr>
      <w:r>
        <w:rPr>
          <w:rFonts w:hint="eastAsia" w:ascii="宋体" w:hAnsi="宋体" w:cs="宋体"/>
          <w:b/>
          <w:bCs/>
          <w:color w:val="000000"/>
          <w:kern w:val="0"/>
          <w:sz w:val="32"/>
          <w:szCs w:val="32"/>
        </w:rPr>
        <w:t>南昌市实行工程建设项目招标投标工作</w:t>
      </w:r>
    </w:p>
    <w:p>
      <w:pPr>
        <w:keepNext w:val="0"/>
        <w:keepLines w:val="0"/>
        <w:pageBreakBefore w:val="0"/>
        <w:widowControl/>
        <w:shd w:val="clear" w:color="auto" w:fill="FFFFFF"/>
        <w:kinsoku/>
        <w:wordWrap/>
        <w:overflowPunct/>
        <w:topLinePunct w:val="0"/>
        <w:autoSpaceDE/>
        <w:autoSpaceDN/>
        <w:bidi w:val="0"/>
        <w:adjustRightInd/>
        <w:snapToGrid/>
        <w:spacing w:line="560" w:lineRule="exact"/>
        <w:ind w:right="0" w:rightChars="0"/>
        <w:jc w:val="center"/>
        <w:textAlignment w:val="auto"/>
        <w:outlineLvl w:val="9"/>
        <w:rPr>
          <w:rFonts w:hint="eastAsia" w:ascii="宋体" w:hAnsi="宋体" w:cs="宋体"/>
          <w:b/>
          <w:bCs/>
          <w:color w:val="000000"/>
          <w:kern w:val="0"/>
          <w:sz w:val="32"/>
          <w:szCs w:val="32"/>
        </w:rPr>
      </w:pPr>
      <w:r>
        <w:rPr>
          <w:rFonts w:hint="eastAsia" w:ascii="宋体" w:hAnsi="宋体" w:cs="宋体"/>
          <w:b/>
          <w:bCs/>
          <w:color w:val="000000"/>
          <w:kern w:val="0"/>
          <w:sz w:val="32"/>
          <w:szCs w:val="32"/>
        </w:rPr>
        <w:t>联席会议制度暂行办法</w:t>
      </w:r>
    </w:p>
    <w:p>
      <w:pPr>
        <w:keepNext w:val="0"/>
        <w:keepLines w:val="0"/>
        <w:pageBreakBefore w:val="0"/>
        <w:widowControl/>
        <w:shd w:val="clear" w:color="auto" w:fill="FFFFFF"/>
        <w:kinsoku/>
        <w:wordWrap/>
        <w:overflowPunct/>
        <w:topLinePunct w:val="0"/>
        <w:autoSpaceDE/>
        <w:autoSpaceDN/>
        <w:bidi w:val="0"/>
        <w:adjustRightInd/>
        <w:snapToGrid/>
        <w:spacing w:line="560" w:lineRule="exact"/>
        <w:ind w:right="0" w:rightChars="0"/>
        <w:textAlignment w:val="auto"/>
        <w:outlineLvl w:val="9"/>
        <w:rPr>
          <w:rFonts w:hint="eastAsia" w:ascii="仿宋_GB2312" w:hAnsi="宋体" w:eastAsia="仿宋_GB2312" w:cs="宋体"/>
          <w:color w:val="000000"/>
          <w:kern w:val="0"/>
          <w:sz w:val="32"/>
          <w:szCs w:val="32"/>
        </w:rPr>
      </w:pPr>
    </w:p>
    <w:p>
      <w:pPr>
        <w:keepNext w:val="0"/>
        <w:keepLines w:val="0"/>
        <w:pageBreakBefore w:val="0"/>
        <w:widowControl/>
        <w:shd w:val="clear" w:color="auto" w:fill="FFFFFF"/>
        <w:kinsoku/>
        <w:wordWrap/>
        <w:overflowPunct/>
        <w:topLinePunct w:val="0"/>
        <w:autoSpaceDE/>
        <w:autoSpaceDN/>
        <w:bidi w:val="0"/>
        <w:adjustRightInd/>
        <w:snapToGrid/>
        <w:spacing w:line="560" w:lineRule="exact"/>
        <w:ind w:right="0" w:rightChars="0"/>
        <w:textAlignment w:val="auto"/>
        <w:outlineLvl w:val="9"/>
        <w:rPr>
          <w:rFonts w:hint="eastAsia" w:ascii="仿宋_GB2312" w:hAnsi="宋体" w:eastAsia="仿宋_GB2312" w:cs="宋体"/>
          <w:color w:val="000000"/>
          <w:kern w:val="0"/>
          <w:sz w:val="30"/>
          <w:szCs w:val="30"/>
        </w:rPr>
      </w:pPr>
      <w:r>
        <w:rPr>
          <w:rFonts w:hint="eastAsia" w:ascii="仿宋_GB2312" w:hAnsi="宋体" w:eastAsia="仿宋_GB2312" w:cs="宋体"/>
          <w:color w:val="000000"/>
          <w:kern w:val="0"/>
          <w:sz w:val="32"/>
          <w:szCs w:val="32"/>
        </w:rPr>
        <w:t>　　</w:t>
      </w:r>
      <w:r>
        <w:rPr>
          <w:rFonts w:hint="eastAsia" w:ascii="仿宋_GB2312" w:hAnsi="宋体" w:eastAsia="仿宋_GB2312" w:cs="宋体"/>
          <w:color w:val="000000"/>
          <w:kern w:val="0"/>
          <w:sz w:val="30"/>
          <w:szCs w:val="30"/>
        </w:rPr>
        <w:t>为加强对全市招标投标活动的统筹协调，形成监管合力，提高监管效率，依据《</w:t>
      </w:r>
      <w:r>
        <w:rPr>
          <w:rFonts w:hint="eastAsia" w:ascii="仿宋_GB2312" w:hAnsi="宋体" w:eastAsia="仿宋_GB2312" w:cs="Arial"/>
          <w:color w:val="000000"/>
          <w:kern w:val="0"/>
          <w:sz w:val="30"/>
          <w:szCs w:val="30"/>
        </w:rPr>
        <w:t>南昌市人民政府关于加强政府投资工程建设项目施工招标投标监管工作的意见</w:t>
      </w:r>
      <w:r>
        <w:rPr>
          <w:rFonts w:hint="eastAsia" w:ascii="仿宋_GB2312" w:hAnsi="宋体" w:eastAsia="仿宋_GB2312" w:cs="宋体"/>
          <w:color w:val="000000"/>
          <w:kern w:val="0"/>
          <w:sz w:val="30"/>
          <w:szCs w:val="30"/>
        </w:rPr>
        <w:t>》（洪府发[2010]15号），建立南昌市</w:t>
      </w:r>
      <w:r>
        <w:rPr>
          <w:rFonts w:hint="eastAsia" w:ascii="仿宋_GB2312" w:hAnsi="宋体" w:eastAsia="仿宋_GB2312" w:cs="Arial"/>
          <w:color w:val="000000"/>
          <w:kern w:val="0"/>
          <w:sz w:val="30"/>
          <w:szCs w:val="30"/>
        </w:rPr>
        <w:t>工程建设项目</w:t>
      </w:r>
      <w:r>
        <w:rPr>
          <w:rFonts w:hint="eastAsia" w:ascii="仿宋_GB2312" w:hAnsi="宋体" w:eastAsia="仿宋_GB2312" w:cs="宋体"/>
          <w:color w:val="000000"/>
          <w:kern w:val="0"/>
          <w:sz w:val="30"/>
          <w:szCs w:val="30"/>
        </w:rPr>
        <w:t>招标投标工作联席会议制度。</w:t>
      </w:r>
    </w:p>
    <w:p>
      <w:pPr>
        <w:keepNext w:val="0"/>
        <w:keepLines w:val="0"/>
        <w:pageBreakBefore w:val="0"/>
        <w:widowControl/>
        <w:shd w:val="clear" w:color="auto" w:fill="FFFFFF"/>
        <w:kinsoku/>
        <w:wordWrap/>
        <w:overflowPunct/>
        <w:topLinePunct w:val="0"/>
        <w:autoSpaceDE/>
        <w:autoSpaceDN/>
        <w:bidi w:val="0"/>
        <w:adjustRightInd/>
        <w:snapToGrid/>
        <w:spacing w:line="560" w:lineRule="exact"/>
        <w:ind w:right="0" w:rightChars="0"/>
        <w:textAlignment w:val="auto"/>
        <w:outlineLvl w:val="9"/>
        <w:rPr>
          <w:rFonts w:hint="eastAsia" w:ascii="仿宋_GB2312" w:hAnsi="宋体" w:eastAsia="仿宋_GB2312" w:cs="宋体"/>
          <w:b/>
          <w:color w:val="000000"/>
          <w:kern w:val="0"/>
          <w:sz w:val="30"/>
          <w:szCs w:val="30"/>
        </w:rPr>
      </w:pPr>
      <w:r>
        <w:rPr>
          <w:rFonts w:hint="eastAsia" w:ascii="仿宋_GB2312" w:hAnsi="宋体" w:eastAsia="仿宋_GB2312" w:cs="宋体"/>
          <w:b/>
          <w:color w:val="000000"/>
          <w:kern w:val="0"/>
          <w:sz w:val="30"/>
          <w:szCs w:val="30"/>
        </w:rPr>
        <w:t>　　一、联席会议组织架构</w:t>
      </w:r>
    </w:p>
    <w:p>
      <w:pPr>
        <w:keepNext w:val="0"/>
        <w:keepLines w:val="0"/>
        <w:pageBreakBefore w:val="0"/>
        <w:widowControl/>
        <w:shd w:val="clear" w:color="auto" w:fill="FFFFFF"/>
        <w:kinsoku/>
        <w:wordWrap/>
        <w:overflowPunct/>
        <w:topLinePunct w:val="0"/>
        <w:autoSpaceDE/>
        <w:autoSpaceDN/>
        <w:bidi w:val="0"/>
        <w:adjustRightInd/>
        <w:snapToGrid/>
        <w:spacing w:line="560" w:lineRule="exact"/>
        <w:ind w:right="0" w:rightChars="0"/>
        <w:textAlignment w:val="auto"/>
        <w:outlineLvl w:val="9"/>
        <w:rPr>
          <w:rFonts w:hint="eastAsia" w:ascii="仿宋_GB2312" w:hAnsi="宋体" w:eastAsia="仿宋_GB2312" w:cs="宋体"/>
          <w:color w:val="000000"/>
          <w:kern w:val="0"/>
          <w:sz w:val="30"/>
          <w:szCs w:val="30"/>
        </w:rPr>
      </w:pPr>
      <w:r>
        <w:rPr>
          <w:rFonts w:hint="eastAsia" w:ascii="仿宋_GB2312" w:hAnsi="宋体" w:eastAsia="仿宋_GB2312" w:cs="宋体"/>
          <w:color w:val="000000"/>
          <w:kern w:val="0"/>
          <w:sz w:val="30"/>
          <w:szCs w:val="30"/>
        </w:rPr>
        <w:t>　　市发改委为联席会议召集单位，市监察局、建委、工信委、水务局、交通局、公路局、法制办、财政局、农办、农业局、园林局、教育局、审计局、公共资源交易管理办公室等部门为联席会议的成员单位。</w:t>
      </w:r>
    </w:p>
    <w:p>
      <w:pPr>
        <w:keepNext w:val="0"/>
        <w:keepLines w:val="0"/>
        <w:pageBreakBefore w:val="0"/>
        <w:widowControl/>
        <w:shd w:val="clear" w:color="auto" w:fill="FFFFFF"/>
        <w:kinsoku/>
        <w:wordWrap/>
        <w:overflowPunct/>
        <w:topLinePunct w:val="0"/>
        <w:autoSpaceDE/>
        <w:autoSpaceDN/>
        <w:bidi w:val="0"/>
        <w:adjustRightInd/>
        <w:snapToGrid/>
        <w:spacing w:line="560" w:lineRule="exact"/>
        <w:ind w:right="0" w:rightChars="0" w:firstLine="600" w:firstLineChars="200"/>
        <w:textAlignment w:val="auto"/>
        <w:outlineLvl w:val="9"/>
        <w:rPr>
          <w:rFonts w:hint="eastAsia" w:ascii="仿宋_GB2312" w:hAnsi="宋体" w:eastAsia="仿宋_GB2312" w:cs="宋体"/>
          <w:color w:val="000000"/>
          <w:kern w:val="0"/>
          <w:sz w:val="30"/>
          <w:szCs w:val="30"/>
        </w:rPr>
      </w:pPr>
      <w:r>
        <w:rPr>
          <w:rFonts w:hint="eastAsia" w:ascii="仿宋_GB2312" w:hAnsi="宋体" w:eastAsia="仿宋_GB2312" w:cs="宋体"/>
          <w:color w:val="000000"/>
          <w:kern w:val="0"/>
          <w:sz w:val="30"/>
          <w:szCs w:val="30"/>
        </w:rPr>
        <w:t>联席会议下设办公室，办公室设在市发改委，主要负责征集联席会议议题；负责会议联络、会议记录和起草会议纪要；组织督促落实联席会议确定事项；编印《南昌招投标简报》；统筹公示全市招投标失信不良行为；承办联席会议交办的其他事项。</w:t>
      </w:r>
    </w:p>
    <w:p>
      <w:pPr>
        <w:keepNext w:val="0"/>
        <w:keepLines w:val="0"/>
        <w:pageBreakBefore w:val="0"/>
        <w:widowControl/>
        <w:shd w:val="clear" w:color="auto" w:fill="FFFFFF"/>
        <w:kinsoku/>
        <w:wordWrap/>
        <w:overflowPunct/>
        <w:topLinePunct w:val="0"/>
        <w:autoSpaceDE/>
        <w:autoSpaceDN/>
        <w:bidi w:val="0"/>
        <w:adjustRightInd/>
        <w:snapToGrid/>
        <w:spacing w:line="560" w:lineRule="exact"/>
        <w:ind w:right="0" w:rightChars="0" w:firstLine="480"/>
        <w:textAlignment w:val="auto"/>
        <w:outlineLvl w:val="9"/>
        <w:rPr>
          <w:rFonts w:hint="eastAsia" w:ascii="仿宋_GB2312" w:hAnsi="宋体" w:eastAsia="仿宋_GB2312" w:cs="宋体"/>
          <w:color w:val="000000"/>
          <w:kern w:val="0"/>
          <w:sz w:val="30"/>
          <w:szCs w:val="30"/>
        </w:rPr>
      </w:pPr>
      <w:r>
        <w:rPr>
          <w:rFonts w:hint="eastAsia" w:ascii="仿宋_GB2312" w:hAnsi="宋体" w:eastAsia="仿宋_GB2312" w:cs="宋体"/>
          <w:color w:val="000000"/>
          <w:kern w:val="0"/>
          <w:sz w:val="30"/>
          <w:szCs w:val="30"/>
        </w:rPr>
        <w:t>组建市工程建设项目招标投标工作专家组，为联席会议的有关议题提供专业咨询。</w:t>
      </w:r>
    </w:p>
    <w:p>
      <w:pPr>
        <w:keepNext w:val="0"/>
        <w:keepLines w:val="0"/>
        <w:pageBreakBefore w:val="0"/>
        <w:widowControl/>
        <w:shd w:val="clear" w:color="auto" w:fill="FFFFFF"/>
        <w:kinsoku/>
        <w:wordWrap/>
        <w:overflowPunct/>
        <w:topLinePunct w:val="0"/>
        <w:autoSpaceDE/>
        <w:autoSpaceDN/>
        <w:bidi w:val="0"/>
        <w:adjustRightInd/>
        <w:snapToGrid/>
        <w:spacing w:line="560" w:lineRule="exact"/>
        <w:ind w:right="0" w:rightChars="0"/>
        <w:textAlignment w:val="auto"/>
        <w:outlineLvl w:val="9"/>
        <w:rPr>
          <w:rFonts w:hint="eastAsia" w:ascii="仿宋_GB2312" w:hAnsi="宋体" w:eastAsia="仿宋_GB2312" w:cs="宋体"/>
          <w:b/>
          <w:color w:val="000000"/>
          <w:kern w:val="0"/>
          <w:sz w:val="30"/>
          <w:szCs w:val="30"/>
        </w:rPr>
      </w:pPr>
      <w:r>
        <w:rPr>
          <w:rFonts w:hint="eastAsia" w:ascii="仿宋_GB2312" w:hAnsi="宋体" w:eastAsia="仿宋_GB2312" w:cs="宋体"/>
          <w:b/>
          <w:color w:val="000000"/>
          <w:kern w:val="0"/>
          <w:sz w:val="30"/>
          <w:szCs w:val="30"/>
        </w:rPr>
        <w:t>　　二、联席会议主要职能</w:t>
      </w:r>
    </w:p>
    <w:p>
      <w:pPr>
        <w:keepNext w:val="0"/>
        <w:keepLines w:val="0"/>
        <w:pageBreakBefore w:val="0"/>
        <w:widowControl/>
        <w:shd w:val="clear" w:color="auto" w:fill="FFFFFF"/>
        <w:kinsoku/>
        <w:wordWrap/>
        <w:overflowPunct/>
        <w:topLinePunct w:val="0"/>
        <w:autoSpaceDE/>
        <w:autoSpaceDN/>
        <w:bidi w:val="0"/>
        <w:adjustRightInd/>
        <w:snapToGrid/>
        <w:spacing w:line="560" w:lineRule="exact"/>
        <w:ind w:right="0" w:rightChars="0"/>
        <w:textAlignment w:val="auto"/>
        <w:outlineLvl w:val="9"/>
        <w:rPr>
          <w:rFonts w:hint="eastAsia" w:ascii="仿宋_GB2312" w:hAnsi="宋体" w:eastAsia="仿宋_GB2312" w:cs="宋体"/>
          <w:color w:val="000000"/>
          <w:kern w:val="0"/>
          <w:sz w:val="30"/>
          <w:szCs w:val="30"/>
        </w:rPr>
      </w:pPr>
      <w:r>
        <w:rPr>
          <w:rFonts w:hint="eastAsia" w:ascii="仿宋_GB2312" w:hAnsi="宋体" w:eastAsia="仿宋_GB2312" w:cs="宋体"/>
          <w:color w:val="000000"/>
          <w:kern w:val="0"/>
          <w:sz w:val="30"/>
          <w:szCs w:val="30"/>
        </w:rPr>
        <w:t>　　（一）各成员单位之间信息交流、情况通报；</w:t>
      </w:r>
    </w:p>
    <w:p>
      <w:pPr>
        <w:keepNext w:val="0"/>
        <w:keepLines w:val="0"/>
        <w:pageBreakBefore w:val="0"/>
        <w:widowControl/>
        <w:shd w:val="clear" w:color="auto" w:fill="FFFFFF"/>
        <w:kinsoku/>
        <w:wordWrap/>
        <w:overflowPunct/>
        <w:topLinePunct w:val="0"/>
        <w:autoSpaceDE/>
        <w:autoSpaceDN/>
        <w:bidi w:val="0"/>
        <w:adjustRightInd/>
        <w:snapToGrid/>
        <w:spacing w:line="560" w:lineRule="exact"/>
        <w:ind w:right="0" w:rightChars="0" w:firstLine="600" w:firstLineChars="200"/>
        <w:textAlignment w:val="auto"/>
        <w:outlineLvl w:val="9"/>
        <w:rPr>
          <w:rFonts w:hint="eastAsia" w:ascii="仿宋_GB2312" w:hAnsi="宋体" w:eastAsia="仿宋_GB2312" w:cs="宋体"/>
          <w:color w:val="000000"/>
          <w:kern w:val="0"/>
          <w:sz w:val="30"/>
          <w:szCs w:val="30"/>
        </w:rPr>
      </w:pPr>
      <w:r>
        <w:rPr>
          <w:rFonts w:hint="eastAsia" w:ascii="仿宋_GB2312" w:hAnsi="宋体" w:eastAsia="仿宋_GB2312" w:cs="宋体"/>
          <w:color w:val="000000"/>
          <w:kern w:val="0"/>
          <w:sz w:val="30"/>
          <w:szCs w:val="30"/>
        </w:rPr>
        <w:t>（二）分析研究和协调处理招投标活动中存在的突出矛盾和主要问题；</w:t>
      </w:r>
    </w:p>
    <w:p>
      <w:pPr>
        <w:keepNext w:val="0"/>
        <w:keepLines w:val="0"/>
        <w:pageBreakBefore w:val="0"/>
        <w:widowControl/>
        <w:shd w:val="clear" w:color="auto" w:fill="FFFFFF"/>
        <w:kinsoku/>
        <w:wordWrap/>
        <w:overflowPunct/>
        <w:topLinePunct w:val="0"/>
        <w:autoSpaceDE/>
        <w:autoSpaceDN/>
        <w:bidi w:val="0"/>
        <w:adjustRightInd/>
        <w:snapToGrid/>
        <w:spacing w:line="560" w:lineRule="exact"/>
        <w:ind w:right="0" w:rightChars="0" w:firstLine="600" w:firstLineChars="200"/>
        <w:textAlignment w:val="auto"/>
        <w:outlineLvl w:val="9"/>
        <w:rPr>
          <w:rFonts w:hint="eastAsia" w:ascii="仿宋_GB2312" w:hAnsi="宋体" w:eastAsia="仿宋_GB2312" w:cs="宋体"/>
          <w:color w:val="000000"/>
          <w:kern w:val="0"/>
          <w:sz w:val="30"/>
          <w:szCs w:val="30"/>
        </w:rPr>
      </w:pPr>
      <w:r>
        <w:rPr>
          <w:rFonts w:hint="eastAsia" w:ascii="仿宋_GB2312" w:hAnsi="宋体" w:eastAsia="仿宋_GB2312" w:cs="宋体"/>
          <w:color w:val="000000"/>
          <w:kern w:val="0"/>
          <w:sz w:val="30"/>
          <w:szCs w:val="30"/>
        </w:rPr>
        <w:t>（三）讨论协调衔接各部门拟订的有关招投标规范性文件；</w:t>
      </w:r>
    </w:p>
    <w:p>
      <w:pPr>
        <w:keepNext w:val="0"/>
        <w:keepLines w:val="0"/>
        <w:pageBreakBefore w:val="0"/>
        <w:widowControl/>
        <w:shd w:val="clear" w:color="auto" w:fill="FFFFFF"/>
        <w:kinsoku/>
        <w:wordWrap/>
        <w:overflowPunct/>
        <w:topLinePunct w:val="0"/>
        <w:autoSpaceDE/>
        <w:autoSpaceDN/>
        <w:bidi w:val="0"/>
        <w:adjustRightInd/>
        <w:snapToGrid/>
        <w:spacing w:line="560" w:lineRule="exact"/>
        <w:ind w:right="0" w:rightChars="0" w:firstLine="600" w:firstLineChars="200"/>
        <w:textAlignment w:val="auto"/>
        <w:outlineLvl w:val="9"/>
        <w:rPr>
          <w:rFonts w:hint="eastAsia" w:ascii="仿宋_GB2312" w:hAnsi="宋体" w:eastAsia="仿宋_GB2312" w:cs="宋体"/>
          <w:color w:val="000000"/>
          <w:kern w:val="0"/>
          <w:sz w:val="30"/>
          <w:szCs w:val="30"/>
        </w:rPr>
      </w:pPr>
      <w:r>
        <w:rPr>
          <w:rFonts w:hint="eastAsia" w:ascii="仿宋_GB2312" w:hAnsi="宋体" w:eastAsia="仿宋_GB2312" w:cs="宋体"/>
          <w:color w:val="000000"/>
          <w:kern w:val="0"/>
          <w:sz w:val="30"/>
          <w:szCs w:val="30"/>
        </w:rPr>
        <w:t>（四）组织全市招投标法律、法规和业务培训；</w:t>
      </w:r>
    </w:p>
    <w:p>
      <w:pPr>
        <w:keepNext w:val="0"/>
        <w:keepLines w:val="0"/>
        <w:pageBreakBefore w:val="0"/>
        <w:widowControl/>
        <w:shd w:val="clear" w:color="auto" w:fill="FFFFFF"/>
        <w:kinsoku/>
        <w:wordWrap/>
        <w:overflowPunct/>
        <w:topLinePunct w:val="0"/>
        <w:autoSpaceDE/>
        <w:autoSpaceDN/>
        <w:bidi w:val="0"/>
        <w:adjustRightInd/>
        <w:snapToGrid/>
        <w:spacing w:line="560" w:lineRule="exact"/>
        <w:ind w:right="0" w:rightChars="0" w:firstLine="600" w:firstLineChars="200"/>
        <w:textAlignment w:val="auto"/>
        <w:outlineLvl w:val="9"/>
        <w:rPr>
          <w:rFonts w:hint="eastAsia" w:ascii="仿宋_GB2312" w:hAnsi="宋体" w:eastAsia="仿宋_GB2312" w:cs="宋体"/>
          <w:color w:val="000000"/>
          <w:kern w:val="0"/>
          <w:sz w:val="30"/>
          <w:szCs w:val="30"/>
        </w:rPr>
      </w:pPr>
      <w:r>
        <w:rPr>
          <w:rFonts w:hint="eastAsia" w:ascii="仿宋_GB2312" w:hAnsi="宋体" w:eastAsia="仿宋_GB2312" w:cs="宋体"/>
          <w:color w:val="000000"/>
          <w:kern w:val="0"/>
          <w:sz w:val="30"/>
          <w:szCs w:val="30"/>
        </w:rPr>
        <w:t>（五）组织全市招投标执法检查和专项联合调查；</w:t>
      </w:r>
    </w:p>
    <w:p>
      <w:pPr>
        <w:keepNext w:val="0"/>
        <w:keepLines w:val="0"/>
        <w:pageBreakBefore w:val="0"/>
        <w:widowControl/>
        <w:shd w:val="clear" w:color="auto" w:fill="FFFFFF"/>
        <w:kinsoku/>
        <w:wordWrap/>
        <w:overflowPunct/>
        <w:topLinePunct w:val="0"/>
        <w:autoSpaceDE/>
        <w:autoSpaceDN/>
        <w:bidi w:val="0"/>
        <w:adjustRightInd/>
        <w:snapToGrid/>
        <w:spacing w:line="560" w:lineRule="exact"/>
        <w:ind w:right="0" w:rightChars="0" w:firstLine="600" w:firstLineChars="200"/>
        <w:textAlignment w:val="auto"/>
        <w:outlineLvl w:val="9"/>
        <w:rPr>
          <w:rFonts w:hint="eastAsia" w:ascii="仿宋_GB2312" w:hAnsi="宋体" w:eastAsia="仿宋_GB2312" w:cs="宋体"/>
          <w:color w:val="000000"/>
          <w:kern w:val="0"/>
          <w:sz w:val="30"/>
          <w:szCs w:val="30"/>
        </w:rPr>
      </w:pPr>
      <w:r>
        <w:rPr>
          <w:rFonts w:hint="eastAsia" w:ascii="仿宋_GB2312" w:hAnsi="宋体" w:eastAsia="仿宋_GB2312" w:cs="宋体"/>
          <w:color w:val="000000"/>
          <w:kern w:val="0"/>
          <w:sz w:val="30"/>
          <w:szCs w:val="30"/>
        </w:rPr>
        <w:t>（六）研究招投标活动中重大违法违规和失信不良行为的处理建议；</w:t>
      </w:r>
    </w:p>
    <w:p>
      <w:pPr>
        <w:keepNext w:val="0"/>
        <w:keepLines w:val="0"/>
        <w:pageBreakBefore w:val="0"/>
        <w:widowControl/>
        <w:shd w:val="clear" w:color="auto" w:fill="FFFFFF"/>
        <w:kinsoku/>
        <w:wordWrap/>
        <w:overflowPunct/>
        <w:topLinePunct w:val="0"/>
        <w:autoSpaceDE/>
        <w:autoSpaceDN/>
        <w:bidi w:val="0"/>
        <w:adjustRightInd/>
        <w:snapToGrid/>
        <w:spacing w:line="560" w:lineRule="exact"/>
        <w:ind w:right="0" w:rightChars="0" w:firstLine="600" w:firstLineChars="200"/>
        <w:textAlignment w:val="auto"/>
        <w:outlineLvl w:val="9"/>
        <w:rPr>
          <w:rFonts w:hint="eastAsia" w:ascii="仿宋_GB2312" w:hAnsi="宋体" w:eastAsia="仿宋_GB2312" w:cs="宋体"/>
          <w:color w:val="000000"/>
          <w:kern w:val="0"/>
          <w:sz w:val="30"/>
          <w:szCs w:val="30"/>
        </w:rPr>
      </w:pPr>
      <w:r>
        <w:rPr>
          <w:rFonts w:hint="eastAsia" w:ascii="仿宋_GB2312" w:hAnsi="宋体" w:eastAsia="仿宋_GB2312" w:cs="宋体"/>
          <w:color w:val="000000"/>
          <w:kern w:val="0"/>
          <w:sz w:val="30"/>
          <w:szCs w:val="30"/>
        </w:rPr>
        <w:t>（七）指导县区（开发区）招投标工作；</w:t>
      </w:r>
    </w:p>
    <w:p>
      <w:pPr>
        <w:keepNext w:val="0"/>
        <w:keepLines w:val="0"/>
        <w:pageBreakBefore w:val="0"/>
        <w:widowControl/>
        <w:shd w:val="clear" w:color="auto" w:fill="FFFFFF"/>
        <w:kinsoku/>
        <w:wordWrap/>
        <w:overflowPunct/>
        <w:topLinePunct w:val="0"/>
        <w:autoSpaceDE/>
        <w:autoSpaceDN/>
        <w:bidi w:val="0"/>
        <w:adjustRightInd/>
        <w:snapToGrid/>
        <w:spacing w:line="560" w:lineRule="exact"/>
        <w:ind w:right="0" w:rightChars="0" w:firstLine="600" w:firstLineChars="200"/>
        <w:textAlignment w:val="auto"/>
        <w:outlineLvl w:val="9"/>
        <w:rPr>
          <w:rFonts w:hint="eastAsia" w:ascii="仿宋_GB2312" w:hAnsi="宋体" w:eastAsia="仿宋_GB2312" w:cs="宋体"/>
          <w:color w:val="000000"/>
          <w:kern w:val="0"/>
          <w:sz w:val="30"/>
          <w:szCs w:val="30"/>
        </w:rPr>
      </w:pPr>
      <w:r>
        <w:rPr>
          <w:rFonts w:hint="eastAsia" w:ascii="仿宋_GB2312" w:hAnsi="宋体" w:eastAsia="仿宋_GB2312" w:cs="宋体"/>
          <w:color w:val="000000"/>
          <w:kern w:val="0"/>
          <w:sz w:val="30"/>
          <w:szCs w:val="30"/>
        </w:rPr>
        <w:t>（八）协调确定招投标活动中其他有关事项。</w:t>
      </w:r>
    </w:p>
    <w:p>
      <w:pPr>
        <w:keepNext w:val="0"/>
        <w:keepLines w:val="0"/>
        <w:pageBreakBefore w:val="0"/>
        <w:widowControl/>
        <w:shd w:val="clear" w:color="auto" w:fill="FFFFFF"/>
        <w:kinsoku/>
        <w:wordWrap/>
        <w:overflowPunct/>
        <w:topLinePunct w:val="0"/>
        <w:autoSpaceDE/>
        <w:autoSpaceDN/>
        <w:bidi w:val="0"/>
        <w:adjustRightInd/>
        <w:snapToGrid/>
        <w:spacing w:line="560" w:lineRule="exact"/>
        <w:ind w:right="0" w:rightChars="0"/>
        <w:textAlignment w:val="auto"/>
        <w:outlineLvl w:val="9"/>
        <w:rPr>
          <w:rFonts w:hint="eastAsia" w:ascii="仿宋_GB2312" w:hAnsi="宋体" w:eastAsia="仿宋_GB2312" w:cs="宋体"/>
          <w:b/>
          <w:color w:val="000000"/>
          <w:kern w:val="0"/>
          <w:sz w:val="30"/>
          <w:szCs w:val="30"/>
        </w:rPr>
      </w:pPr>
      <w:r>
        <w:rPr>
          <w:rFonts w:hint="eastAsia" w:ascii="仿宋_GB2312" w:hAnsi="宋体" w:eastAsia="仿宋_GB2312" w:cs="宋体"/>
          <w:b/>
          <w:color w:val="000000"/>
          <w:kern w:val="0"/>
          <w:sz w:val="30"/>
          <w:szCs w:val="30"/>
        </w:rPr>
        <w:t>　　三、联席会议基本形式</w:t>
      </w:r>
    </w:p>
    <w:p>
      <w:pPr>
        <w:keepNext w:val="0"/>
        <w:keepLines w:val="0"/>
        <w:pageBreakBefore w:val="0"/>
        <w:widowControl/>
        <w:shd w:val="clear" w:color="auto" w:fill="FFFFFF"/>
        <w:kinsoku/>
        <w:wordWrap/>
        <w:overflowPunct/>
        <w:topLinePunct w:val="0"/>
        <w:autoSpaceDE/>
        <w:autoSpaceDN/>
        <w:bidi w:val="0"/>
        <w:adjustRightInd/>
        <w:snapToGrid/>
        <w:spacing w:line="560" w:lineRule="exact"/>
        <w:ind w:right="0" w:rightChars="0" w:firstLine="480"/>
        <w:textAlignment w:val="auto"/>
        <w:outlineLvl w:val="9"/>
        <w:rPr>
          <w:rFonts w:hint="eastAsia" w:ascii="仿宋_GB2312" w:hAnsi="宋体" w:eastAsia="仿宋_GB2312" w:cs="宋体"/>
          <w:color w:val="000000"/>
          <w:kern w:val="0"/>
          <w:sz w:val="30"/>
          <w:szCs w:val="30"/>
        </w:rPr>
      </w:pPr>
      <w:r>
        <w:rPr>
          <w:rFonts w:hint="eastAsia" w:ascii="仿宋_GB2312" w:hAnsi="宋体" w:eastAsia="仿宋_GB2312" w:cs="宋体"/>
          <w:color w:val="000000"/>
          <w:kern w:val="0"/>
          <w:sz w:val="30"/>
          <w:szCs w:val="30"/>
        </w:rPr>
        <w:t>联席会议分为“全体会议”、“专题会议”和“联络员会议”三种形式，以“专题会议” 和“联络员会议”为主要形式。</w:t>
      </w:r>
    </w:p>
    <w:p>
      <w:pPr>
        <w:keepNext w:val="0"/>
        <w:keepLines w:val="0"/>
        <w:pageBreakBefore w:val="0"/>
        <w:widowControl/>
        <w:shd w:val="clear" w:color="auto" w:fill="FFFFFF"/>
        <w:kinsoku/>
        <w:wordWrap/>
        <w:overflowPunct/>
        <w:topLinePunct w:val="0"/>
        <w:autoSpaceDE/>
        <w:autoSpaceDN/>
        <w:bidi w:val="0"/>
        <w:adjustRightInd/>
        <w:snapToGrid/>
        <w:spacing w:line="560" w:lineRule="exact"/>
        <w:ind w:right="0" w:rightChars="0" w:firstLine="480"/>
        <w:textAlignment w:val="auto"/>
        <w:outlineLvl w:val="9"/>
        <w:rPr>
          <w:rFonts w:hint="eastAsia" w:ascii="仿宋_GB2312" w:hAnsi="宋体" w:eastAsia="仿宋_GB2312" w:cs="宋体"/>
          <w:color w:val="000000"/>
          <w:kern w:val="0"/>
          <w:sz w:val="30"/>
          <w:szCs w:val="30"/>
        </w:rPr>
      </w:pPr>
      <w:r>
        <w:rPr>
          <w:rFonts w:hint="eastAsia" w:ascii="仿宋_GB2312" w:hAnsi="宋体" w:eastAsia="仿宋_GB2312" w:cs="宋体"/>
          <w:color w:val="000000"/>
          <w:kern w:val="0"/>
          <w:sz w:val="30"/>
          <w:szCs w:val="30"/>
        </w:rPr>
        <w:t>全体会议主要研究、协调和确定涉及全市招投标活动的重大事项和重要举措，由全体成员单位分管领导参加；</w:t>
      </w:r>
    </w:p>
    <w:p>
      <w:pPr>
        <w:keepNext w:val="0"/>
        <w:keepLines w:val="0"/>
        <w:pageBreakBefore w:val="0"/>
        <w:widowControl/>
        <w:shd w:val="clear" w:color="auto" w:fill="FFFFFF"/>
        <w:kinsoku/>
        <w:wordWrap/>
        <w:overflowPunct/>
        <w:topLinePunct w:val="0"/>
        <w:autoSpaceDE/>
        <w:autoSpaceDN/>
        <w:bidi w:val="0"/>
        <w:adjustRightInd/>
        <w:snapToGrid/>
        <w:spacing w:line="560" w:lineRule="exact"/>
        <w:ind w:right="0" w:rightChars="0" w:firstLine="480"/>
        <w:textAlignment w:val="auto"/>
        <w:outlineLvl w:val="9"/>
        <w:rPr>
          <w:rFonts w:hint="eastAsia" w:ascii="仿宋_GB2312" w:hAnsi="宋体" w:eastAsia="仿宋_GB2312" w:cs="宋体"/>
          <w:color w:val="000000"/>
          <w:kern w:val="0"/>
          <w:sz w:val="30"/>
          <w:szCs w:val="30"/>
        </w:rPr>
      </w:pPr>
      <w:r>
        <w:rPr>
          <w:rFonts w:hint="eastAsia" w:ascii="仿宋_GB2312" w:hAnsi="宋体" w:eastAsia="仿宋_GB2312" w:cs="宋体"/>
          <w:color w:val="000000"/>
          <w:kern w:val="0"/>
          <w:sz w:val="30"/>
          <w:szCs w:val="30"/>
        </w:rPr>
        <w:t>专题会议主要研究解决招投标工作中的专项问题，由所涉成员单位和受邀县区（开发区）、市直部门分管领导参加；</w:t>
      </w:r>
    </w:p>
    <w:p>
      <w:pPr>
        <w:keepNext w:val="0"/>
        <w:keepLines w:val="0"/>
        <w:pageBreakBefore w:val="0"/>
        <w:widowControl/>
        <w:shd w:val="clear" w:color="auto" w:fill="FFFFFF"/>
        <w:kinsoku/>
        <w:wordWrap/>
        <w:overflowPunct/>
        <w:topLinePunct w:val="0"/>
        <w:autoSpaceDE/>
        <w:autoSpaceDN/>
        <w:bidi w:val="0"/>
        <w:adjustRightInd/>
        <w:snapToGrid/>
        <w:spacing w:line="560" w:lineRule="exact"/>
        <w:ind w:right="0" w:rightChars="0" w:firstLine="480"/>
        <w:textAlignment w:val="auto"/>
        <w:outlineLvl w:val="9"/>
        <w:rPr>
          <w:rFonts w:hint="eastAsia" w:ascii="仿宋_GB2312" w:hAnsi="宋体" w:eastAsia="仿宋_GB2312" w:cs="宋体"/>
          <w:color w:val="000000"/>
          <w:kern w:val="0"/>
          <w:sz w:val="30"/>
          <w:szCs w:val="30"/>
        </w:rPr>
      </w:pPr>
      <w:r>
        <w:rPr>
          <w:rFonts w:hint="eastAsia" w:ascii="仿宋_GB2312" w:hAnsi="宋体" w:eastAsia="仿宋_GB2312" w:cs="宋体"/>
          <w:color w:val="000000"/>
          <w:kern w:val="0"/>
          <w:sz w:val="30"/>
          <w:szCs w:val="30"/>
        </w:rPr>
        <w:t>联络员会议主要协调会商供全体会议和专题会议讨论确定的相关规范性文件和事项，会议可视情邀请招投标工作专家组成员和招投标活动参与方主要负责人参加。联络员由成员单位分别指定一名业务处处长担任。</w:t>
      </w:r>
    </w:p>
    <w:p>
      <w:pPr>
        <w:keepNext w:val="0"/>
        <w:keepLines w:val="0"/>
        <w:pageBreakBefore w:val="0"/>
        <w:widowControl/>
        <w:shd w:val="clear" w:color="auto" w:fill="FFFFFF"/>
        <w:kinsoku/>
        <w:wordWrap/>
        <w:overflowPunct/>
        <w:topLinePunct w:val="0"/>
        <w:autoSpaceDE/>
        <w:autoSpaceDN/>
        <w:bidi w:val="0"/>
        <w:adjustRightInd/>
        <w:snapToGrid/>
        <w:spacing w:line="560" w:lineRule="exact"/>
        <w:ind w:right="0" w:rightChars="0" w:firstLine="480"/>
        <w:textAlignment w:val="auto"/>
        <w:outlineLvl w:val="9"/>
        <w:rPr>
          <w:rFonts w:hint="eastAsia" w:ascii="仿宋_GB2312" w:hAnsi="宋体" w:eastAsia="仿宋_GB2312" w:cs="宋体"/>
          <w:color w:val="000000"/>
          <w:kern w:val="0"/>
          <w:sz w:val="30"/>
          <w:szCs w:val="30"/>
        </w:rPr>
      </w:pPr>
      <w:r>
        <w:rPr>
          <w:rFonts w:hint="eastAsia" w:ascii="仿宋_GB2312" w:hAnsi="宋体" w:eastAsia="仿宋_GB2312" w:cs="宋体"/>
          <w:color w:val="000000"/>
          <w:kern w:val="0"/>
          <w:sz w:val="30"/>
          <w:szCs w:val="30"/>
        </w:rPr>
        <w:t>成员单位分管领导因公不能参加全体会议和专题会议时可委托联络员代行职责。</w:t>
      </w:r>
    </w:p>
    <w:p>
      <w:pPr>
        <w:keepNext w:val="0"/>
        <w:keepLines w:val="0"/>
        <w:pageBreakBefore w:val="0"/>
        <w:widowControl/>
        <w:shd w:val="clear" w:color="auto" w:fill="FFFFFF"/>
        <w:kinsoku/>
        <w:wordWrap/>
        <w:overflowPunct/>
        <w:topLinePunct w:val="0"/>
        <w:autoSpaceDE/>
        <w:autoSpaceDN/>
        <w:bidi w:val="0"/>
        <w:adjustRightInd/>
        <w:snapToGrid/>
        <w:spacing w:line="560" w:lineRule="exact"/>
        <w:ind w:right="0" w:rightChars="0" w:firstLine="480"/>
        <w:textAlignment w:val="auto"/>
        <w:outlineLvl w:val="9"/>
        <w:rPr>
          <w:rFonts w:hint="eastAsia" w:ascii="仿宋_GB2312" w:hAnsi="宋体" w:eastAsia="仿宋_GB2312" w:cs="宋体"/>
          <w:color w:val="000000"/>
          <w:kern w:val="0"/>
          <w:sz w:val="30"/>
          <w:szCs w:val="30"/>
        </w:rPr>
      </w:pPr>
      <w:r>
        <w:rPr>
          <w:rFonts w:hint="eastAsia" w:ascii="仿宋_GB2312" w:hAnsi="宋体" w:eastAsia="仿宋_GB2312" w:cs="宋体"/>
          <w:color w:val="000000"/>
          <w:kern w:val="0"/>
          <w:sz w:val="30"/>
          <w:szCs w:val="30"/>
        </w:rPr>
        <w:t>联席会议原则上每两月召开一次，因工作需要可随时召开。</w:t>
      </w:r>
    </w:p>
    <w:p>
      <w:pPr>
        <w:keepNext w:val="0"/>
        <w:keepLines w:val="0"/>
        <w:pageBreakBefore w:val="0"/>
        <w:widowControl/>
        <w:shd w:val="clear" w:color="auto" w:fill="FFFFFF"/>
        <w:kinsoku/>
        <w:wordWrap/>
        <w:overflowPunct/>
        <w:topLinePunct w:val="0"/>
        <w:autoSpaceDE/>
        <w:autoSpaceDN/>
        <w:bidi w:val="0"/>
        <w:adjustRightInd/>
        <w:snapToGrid/>
        <w:spacing w:line="560" w:lineRule="exact"/>
        <w:ind w:right="0" w:rightChars="0"/>
        <w:textAlignment w:val="auto"/>
        <w:outlineLvl w:val="9"/>
        <w:rPr>
          <w:rFonts w:hint="eastAsia" w:ascii="仿宋_GB2312" w:hAnsi="宋体" w:eastAsia="仿宋_GB2312" w:cs="宋体"/>
          <w:b/>
          <w:color w:val="000000"/>
          <w:kern w:val="0"/>
          <w:sz w:val="30"/>
          <w:szCs w:val="30"/>
        </w:rPr>
      </w:pPr>
      <w:r>
        <w:rPr>
          <w:rFonts w:hint="eastAsia" w:ascii="仿宋_GB2312" w:hAnsi="宋体" w:eastAsia="仿宋_GB2312" w:cs="宋体"/>
          <w:b/>
          <w:color w:val="000000"/>
          <w:kern w:val="0"/>
          <w:sz w:val="30"/>
          <w:szCs w:val="30"/>
        </w:rPr>
        <w:t>　　四、联席会议工作规程</w:t>
      </w:r>
    </w:p>
    <w:p>
      <w:pPr>
        <w:keepNext w:val="0"/>
        <w:keepLines w:val="0"/>
        <w:pageBreakBefore w:val="0"/>
        <w:widowControl/>
        <w:shd w:val="clear" w:color="auto" w:fill="FFFFFF"/>
        <w:kinsoku/>
        <w:wordWrap/>
        <w:overflowPunct/>
        <w:topLinePunct w:val="0"/>
        <w:autoSpaceDE/>
        <w:autoSpaceDN/>
        <w:bidi w:val="0"/>
        <w:adjustRightInd/>
        <w:snapToGrid/>
        <w:spacing w:line="560" w:lineRule="exact"/>
        <w:ind w:right="0" w:rightChars="0"/>
        <w:textAlignment w:val="auto"/>
        <w:outlineLvl w:val="9"/>
        <w:rPr>
          <w:rFonts w:hint="eastAsia" w:ascii="仿宋_GB2312" w:hAnsi="宋体" w:eastAsia="仿宋_GB2312" w:cs="宋体"/>
          <w:color w:val="000000"/>
          <w:kern w:val="0"/>
          <w:sz w:val="30"/>
          <w:szCs w:val="30"/>
        </w:rPr>
      </w:pPr>
      <w:r>
        <w:rPr>
          <w:rFonts w:hint="eastAsia" w:ascii="仿宋_GB2312" w:hAnsi="宋体" w:eastAsia="仿宋_GB2312" w:cs="宋体"/>
          <w:color w:val="000000"/>
          <w:kern w:val="0"/>
          <w:sz w:val="30"/>
          <w:szCs w:val="30"/>
        </w:rPr>
        <w:t>　　（一）联席会议由召集单位主持召开；</w:t>
      </w:r>
    </w:p>
    <w:p>
      <w:pPr>
        <w:keepNext w:val="0"/>
        <w:keepLines w:val="0"/>
        <w:pageBreakBefore w:val="0"/>
        <w:widowControl/>
        <w:shd w:val="clear" w:color="auto" w:fill="FFFFFF"/>
        <w:kinsoku/>
        <w:wordWrap/>
        <w:overflowPunct/>
        <w:topLinePunct w:val="0"/>
        <w:autoSpaceDE/>
        <w:autoSpaceDN/>
        <w:bidi w:val="0"/>
        <w:adjustRightInd/>
        <w:snapToGrid/>
        <w:spacing w:line="560" w:lineRule="exact"/>
        <w:ind w:right="0" w:rightChars="0"/>
        <w:textAlignment w:val="auto"/>
        <w:outlineLvl w:val="9"/>
        <w:rPr>
          <w:rFonts w:hint="eastAsia" w:ascii="仿宋_GB2312" w:hAnsi="宋体" w:eastAsia="仿宋_GB2312" w:cs="宋体"/>
          <w:color w:val="000000"/>
          <w:kern w:val="0"/>
          <w:sz w:val="30"/>
          <w:szCs w:val="30"/>
        </w:rPr>
      </w:pPr>
      <w:r>
        <w:rPr>
          <w:rFonts w:hint="eastAsia" w:ascii="仿宋_GB2312" w:hAnsi="宋体" w:eastAsia="仿宋_GB2312" w:cs="宋体"/>
          <w:color w:val="000000"/>
          <w:kern w:val="0"/>
          <w:sz w:val="30"/>
          <w:szCs w:val="30"/>
        </w:rPr>
        <w:t>　　（二）联席会议议题由联席会议办公室向各成员单位或相关部门征集提出，于会前书面告知全体参会人员；</w:t>
      </w:r>
    </w:p>
    <w:p>
      <w:pPr>
        <w:keepNext w:val="0"/>
        <w:keepLines w:val="0"/>
        <w:pageBreakBefore w:val="0"/>
        <w:widowControl/>
        <w:shd w:val="clear" w:color="auto" w:fill="FFFFFF"/>
        <w:kinsoku/>
        <w:wordWrap/>
        <w:overflowPunct/>
        <w:topLinePunct w:val="0"/>
        <w:autoSpaceDE/>
        <w:autoSpaceDN/>
        <w:bidi w:val="0"/>
        <w:adjustRightInd/>
        <w:snapToGrid/>
        <w:spacing w:line="560" w:lineRule="exact"/>
        <w:ind w:right="0" w:rightChars="0" w:firstLine="645"/>
        <w:textAlignment w:val="auto"/>
        <w:outlineLvl w:val="9"/>
        <w:rPr>
          <w:rFonts w:hint="eastAsia" w:ascii="仿宋_GB2312" w:hAnsi="宋体" w:eastAsia="仿宋_GB2312" w:cs="宋体"/>
          <w:color w:val="000000"/>
          <w:kern w:val="0"/>
          <w:sz w:val="30"/>
          <w:szCs w:val="30"/>
        </w:rPr>
      </w:pPr>
      <w:r>
        <w:rPr>
          <w:rFonts w:hint="eastAsia" w:ascii="仿宋_GB2312" w:hAnsi="宋体" w:eastAsia="仿宋_GB2312" w:cs="宋体"/>
          <w:color w:val="000000"/>
          <w:kern w:val="0"/>
          <w:sz w:val="30"/>
          <w:szCs w:val="30"/>
        </w:rPr>
        <w:t>（三）联席会议所议事项在依法依规和充分协商的基础上确定，需要表决的，须经与会三分之二以上人员通过；</w:t>
      </w:r>
    </w:p>
    <w:p>
      <w:pPr>
        <w:keepNext w:val="0"/>
        <w:keepLines w:val="0"/>
        <w:pageBreakBefore w:val="0"/>
        <w:widowControl/>
        <w:shd w:val="clear" w:color="auto" w:fill="FFFFFF"/>
        <w:kinsoku/>
        <w:wordWrap/>
        <w:overflowPunct/>
        <w:topLinePunct w:val="0"/>
        <w:autoSpaceDE/>
        <w:autoSpaceDN/>
        <w:bidi w:val="0"/>
        <w:adjustRightInd/>
        <w:snapToGrid/>
        <w:spacing w:line="560" w:lineRule="exact"/>
        <w:ind w:right="0" w:rightChars="0" w:firstLine="645"/>
        <w:textAlignment w:val="auto"/>
        <w:outlineLvl w:val="9"/>
        <w:rPr>
          <w:rFonts w:hint="eastAsia" w:ascii="仿宋_GB2312" w:hAnsi="宋体" w:eastAsia="仿宋_GB2312" w:cs="宋体"/>
          <w:color w:val="000000"/>
          <w:kern w:val="0"/>
          <w:sz w:val="30"/>
          <w:szCs w:val="30"/>
        </w:rPr>
      </w:pPr>
      <w:r>
        <w:rPr>
          <w:rFonts w:hint="eastAsia" w:ascii="仿宋_GB2312" w:hAnsi="宋体" w:eastAsia="仿宋_GB2312" w:cs="宋体"/>
          <w:color w:val="000000"/>
          <w:kern w:val="0"/>
          <w:sz w:val="30"/>
          <w:szCs w:val="30"/>
        </w:rPr>
        <w:t>（四）联席会议成果应以会议纪要形式明确，不同意见须在会议记录中载明。会议纪要依次经参会单位分管领导、召集人审核后付印；</w:t>
      </w:r>
    </w:p>
    <w:p>
      <w:pPr>
        <w:keepNext w:val="0"/>
        <w:keepLines w:val="0"/>
        <w:pageBreakBefore w:val="0"/>
        <w:widowControl/>
        <w:shd w:val="clear" w:color="auto" w:fill="FFFFFF"/>
        <w:kinsoku/>
        <w:wordWrap/>
        <w:overflowPunct/>
        <w:topLinePunct w:val="0"/>
        <w:autoSpaceDE/>
        <w:autoSpaceDN/>
        <w:bidi w:val="0"/>
        <w:adjustRightInd/>
        <w:snapToGrid/>
        <w:spacing w:line="560" w:lineRule="exact"/>
        <w:ind w:right="0" w:rightChars="0"/>
        <w:textAlignment w:val="auto"/>
        <w:outlineLvl w:val="9"/>
        <w:rPr>
          <w:rFonts w:hint="eastAsia" w:ascii="仿宋_GB2312" w:hAnsi="宋体" w:eastAsia="仿宋_GB2312" w:cs="宋体"/>
          <w:color w:val="000000"/>
          <w:kern w:val="0"/>
          <w:sz w:val="30"/>
          <w:szCs w:val="30"/>
        </w:rPr>
      </w:pPr>
      <w:r>
        <w:rPr>
          <w:rFonts w:hint="eastAsia" w:ascii="仿宋_GB2312" w:hAnsi="宋体" w:eastAsia="仿宋_GB2312" w:cs="宋体"/>
          <w:color w:val="000000"/>
          <w:kern w:val="0"/>
          <w:sz w:val="30"/>
          <w:szCs w:val="30"/>
        </w:rPr>
        <w:t>　　（五）会议纪要所明确事项具有行政约束力，由相关部门各司其职，各负其责，认真落实，按时办结；</w:t>
      </w:r>
    </w:p>
    <w:p>
      <w:pPr>
        <w:keepNext w:val="0"/>
        <w:keepLines w:val="0"/>
        <w:pageBreakBefore w:val="0"/>
        <w:widowControl/>
        <w:shd w:val="clear" w:color="auto" w:fill="FFFFFF"/>
        <w:kinsoku/>
        <w:wordWrap/>
        <w:overflowPunct/>
        <w:topLinePunct w:val="0"/>
        <w:autoSpaceDE/>
        <w:autoSpaceDN/>
        <w:bidi w:val="0"/>
        <w:adjustRightInd/>
        <w:snapToGrid/>
        <w:spacing w:line="560" w:lineRule="exact"/>
        <w:ind w:right="0" w:rightChars="0"/>
        <w:textAlignment w:val="auto"/>
        <w:outlineLvl w:val="9"/>
        <w:rPr>
          <w:rFonts w:hint="eastAsia" w:ascii="仿宋_GB2312" w:hAnsi="宋体" w:eastAsia="仿宋_GB2312" w:cs="宋体"/>
          <w:color w:val="000000"/>
          <w:kern w:val="0"/>
          <w:sz w:val="30"/>
          <w:szCs w:val="30"/>
        </w:rPr>
      </w:pPr>
      <w:r>
        <w:rPr>
          <w:rFonts w:hint="eastAsia" w:ascii="仿宋_GB2312" w:hAnsi="宋体" w:eastAsia="仿宋_GB2312" w:cs="宋体"/>
          <w:color w:val="000000"/>
          <w:kern w:val="0"/>
          <w:sz w:val="30"/>
          <w:szCs w:val="30"/>
        </w:rPr>
        <w:t>　　（六）联席会议讨论通过的有关规范性文件由相关部门发布。</w:t>
      </w:r>
    </w:p>
    <w:p>
      <w:pPr>
        <w:keepNext w:val="0"/>
        <w:keepLines w:val="0"/>
        <w:pageBreakBefore w:val="0"/>
        <w:widowControl/>
        <w:shd w:val="clear" w:color="auto" w:fill="FFFFFF"/>
        <w:kinsoku/>
        <w:wordWrap/>
        <w:overflowPunct/>
        <w:topLinePunct w:val="0"/>
        <w:autoSpaceDE/>
        <w:autoSpaceDN/>
        <w:bidi w:val="0"/>
        <w:adjustRightInd/>
        <w:snapToGrid/>
        <w:spacing w:line="560" w:lineRule="exact"/>
        <w:ind w:right="0" w:rightChars="0"/>
        <w:textAlignment w:val="auto"/>
        <w:outlineLvl w:val="9"/>
        <w:rPr>
          <w:rFonts w:hint="eastAsia" w:ascii="仿宋_GB2312" w:hAnsi="宋体" w:eastAsia="仿宋_GB2312" w:cs="宋体"/>
          <w:b/>
          <w:color w:val="000000"/>
          <w:kern w:val="0"/>
          <w:sz w:val="30"/>
          <w:szCs w:val="30"/>
        </w:rPr>
      </w:pPr>
      <w:r>
        <w:rPr>
          <w:rFonts w:hint="eastAsia" w:ascii="仿宋_GB2312" w:hAnsi="宋体" w:eastAsia="仿宋_GB2312" w:cs="宋体"/>
          <w:b/>
          <w:color w:val="000000"/>
          <w:kern w:val="0"/>
          <w:sz w:val="30"/>
          <w:szCs w:val="30"/>
        </w:rPr>
        <w:t>　　五、联席会议制度要求</w:t>
      </w:r>
    </w:p>
    <w:p>
      <w:pPr>
        <w:keepNext w:val="0"/>
        <w:keepLines w:val="0"/>
        <w:pageBreakBefore w:val="0"/>
        <w:kinsoku/>
        <w:wordWrap/>
        <w:overflowPunct/>
        <w:topLinePunct w:val="0"/>
        <w:autoSpaceDE/>
        <w:autoSpaceDN/>
        <w:bidi w:val="0"/>
        <w:adjustRightInd/>
        <w:snapToGrid/>
        <w:spacing w:line="560" w:lineRule="exact"/>
        <w:ind w:right="0" w:rightChars="0"/>
        <w:textAlignment w:val="auto"/>
        <w:outlineLvl w:val="9"/>
        <w:rPr>
          <w:rFonts w:hint="eastAsia" w:ascii="仿宋_GB2312" w:hAnsi="宋体" w:eastAsia="仿宋_GB2312" w:cs="宋体"/>
          <w:color w:val="000000"/>
          <w:kern w:val="0"/>
          <w:sz w:val="30"/>
          <w:szCs w:val="30"/>
        </w:rPr>
      </w:pPr>
      <w:r>
        <w:rPr>
          <w:rFonts w:hint="eastAsia" w:ascii="仿宋_GB2312" w:hAnsi="宋体" w:eastAsia="仿宋_GB2312" w:cs="宋体"/>
          <w:color w:val="000000"/>
          <w:kern w:val="0"/>
          <w:sz w:val="30"/>
          <w:szCs w:val="30"/>
        </w:rPr>
        <w:t>　　1、学习制。联席会议要安排集中学习时间，学习国家、省有关招投标的新的规定和要求，并结合全市实际，研究落实意见。联席会议办公室要为提高全市相关工作人员的业务水平定期组织培训、编印资料。</w:t>
      </w:r>
    </w:p>
    <w:p>
      <w:pPr>
        <w:keepNext w:val="0"/>
        <w:keepLines w:val="0"/>
        <w:pageBreakBefore w:val="0"/>
        <w:kinsoku/>
        <w:wordWrap/>
        <w:overflowPunct/>
        <w:topLinePunct w:val="0"/>
        <w:autoSpaceDE/>
        <w:autoSpaceDN/>
        <w:bidi w:val="0"/>
        <w:adjustRightInd/>
        <w:snapToGrid/>
        <w:spacing w:line="560" w:lineRule="exact"/>
        <w:ind w:right="0" w:rightChars="0" w:firstLine="600" w:firstLineChars="200"/>
        <w:textAlignment w:val="auto"/>
        <w:outlineLvl w:val="9"/>
        <w:rPr>
          <w:rFonts w:hint="eastAsia" w:ascii="仿宋_GB2312" w:hAnsi="宋体" w:eastAsia="仿宋_GB2312" w:cs="宋体"/>
          <w:color w:val="000000"/>
          <w:kern w:val="0"/>
          <w:sz w:val="30"/>
          <w:szCs w:val="30"/>
        </w:rPr>
      </w:pPr>
      <w:r>
        <w:rPr>
          <w:rFonts w:hint="eastAsia" w:ascii="仿宋_GB2312" w:hAnsi="宋体" w:eastAsia="仿宋_GB2312" w:cs="宋体"/>
          <w:color w:val="000000"/>
          <w:kern w:val="0"/>
          <w:sz w:val="30"/>
          <w:szCs w:val="30"/>
        </w:rPr>
        <w:t>2、通报制。各成员单位应及时互相通报上级主管部门涉及招投标的新规定、新举措，通报履行职责工作中发现的问题和解决问题的建议。联席会议办公室应尽快组织建立全市工程建设项目招投标管理信息系统，必要时启用南昌市建设工程招投标网站。</w:t>
      </w:r>
    </w:p>
    <w:p>
      <w:pPr>
        <w:keepNext w:val="0"/>
        <w:keepLines w:val="0"/>
        <w:pageBreakBefore w:val="0"/>
        <w:kinsoku/>
        <w:wordWrap/>
        <w:overflowPunct/>
        <w:topLinePunct w:val="0"/>
        <w:autoSpaceDE/>
        <w:autoSpaceDN/>
        <w:bidi w:val="0"/>
        <w:adjustRightInd/>
        <w:snapToGrid/>
        <w:spacing w:line="560" w:lineRule="exact"/>
        <w:ind w:right="0" w:rightChars="0" w:firstLine="600" w:firstLineChars="200"/>
        <w:textAlignment w:val="auto"/>
        <w:outlineLvl w:val="9"/>
        <w:rPr>
          <w:rFonts w:hint="eastAsia" w:ascii="仿宋_GB2312" w:hAnsi="宋体" w:eastAsia="仿宋_GB2312" w:cs="宋体"/>
          <w:color w:val="000000"/>
          <w:kern w:val="0"/>
          <w:sz w:val="30"/>
          <w:szCs w:val="30"/>
        </w:rPr>
      </w:pPr>
      <w:r>
        <w:rPr>
          <w:rFonts w:hint="eastAsia" w:ascii="仿宋_GB2312" w:hAnsi="宋体" w:eastAsia="仿宋_GB2312" w:cs="宋体"/>
          <w:color w:val="000000"/>
          <w:kern w:val="0"/>
          <w:sz w:val="30"/>
          <w:szCs w:val="30"/>
        </w:rPr>
        <w:t>3、上报制。各成员单位对招投标拟采取的新的监管措施应及时上报联席会议统筹商议，对招投标失信不良行为记录公示决定应及时向联席会议办公室报送。</w:t>
      </w:r>
    </w:p>
    <w:p>
      <w:pPr>
        <w:keepNext w:val="0"/>
        <w:keepLines w:val="0"/>
        <w:pageBreakBefore w:val="0"/>
        <w:kinsoku/>
        <w:wordWrap/>
        <w:overflowPunct/>
        <w:topLinePunct w:val="0"/>
        <w:autoSpaceDE/>
        <w:autoSpaceDN/>
        <w:bidi w:val="0"/>
        <w:adjustRightInd/>
        <w:snapToGrid/>
        <w:spacing w:line="560" w:lineRule="exact"/>
        <w:ind w:right="0" w:rightChars="0" w:firstLine="600" w:firstLineChars="200"/>
        <w:textAlignment w:val="auto"/>
        <w:outlineLvl w:val="9"/>
        <w:rPr>
          <w:rFonts w:hint="eastAsia" w:ascii="仿宋_GB2312" w:hAnsi="宋体" w:eastAsia="仿宋_GB2312" w:cs="宋体"/>
          <w:color w:val="000000"/>
          <w:kern w:val="0"/>
          <w:sz w:val="30"/>
          <w:szCs w:val="30"/>
        </w:rPr>
      </w:pPr>
      <w:r>
        <w:rPr>
          <w:rFonts w:hint="eastAsia" w:ascii="仿宋_GB2312" w:hAnsi="宋体" w:eastAsia="仿宋_GB2312" w:cs="宋体"/>
          <w:color w:val="000000"/>
          <w:kern w:val="0"/>
          <w:sz w:val="30"/>
          <w:szCs w:val="30"/>
        </w:rPr>
        <w:t>4、协商制。对联席会议所议事项有重大分歧的，应在进一步调研论证、充分协商后交下次会议讨论决定，必要时应专题请示市政府决定。</w:t>
      </w:r>
    </w:p>
    <w:p>
      <w:pPr>
        <w:keepNext w:val="0"/>
        <w:keepLines w:val="0"/>
        <w:pageBreakBefore w:val="0"/>
        <w:kinsoku/>
        <w:wordWrap/>
        <w:overflowPunct/>
        <w:topLinePunct w:val="0"/>
        <w:autoSpaceDE/>
        <w:autoSpaceDN/>
        <w:bidi w:val="0"/>
        <w:adjustRightInd/>
        <w:snapToGrid/>
        <w:spacing w:line="560" w:lineRule="exact"/>
        <w:ind w:right="0" w:rightChars="0" w:firstLine="600" w:firstLineChars="200"/>
        <w:textAlignment w:val="auto"/>
        <w:outlineLvl w:val="9"/>
        <w:rPr>
          <w:rFonts w:hint="eastAsia" w:ascii="仿宋_GB2312" w:hAnsi="宋体" w:eastAsia="仿宋_GB2312" w:cs="宋体"/>
          <w:color w:val="000000"/>
          <w:kern w:val="0"/>
          <w:sz w:val="30"/>
          <w:szCs w:val="30"/>
        </w:rPr>
      </w:pPr>
      <w:r>
        <w:rPr>
          <w:rFonts w:hint="eastAsia" w:ascii="仿宋_GB2312" w:hAnsi="宋体" w:eastAsia="仿宋_GB2312" w:cs="宋体"/>
          <w:color w:val="000000"/>
          <w:kern w:val="0"/>
          <w:sz w:val="30"/>
          <w:szCs w:val="30"/>
        </w:rPr>
        <w:t>5、保密制。联席会议与会人员必须遵守保密制度，不得泄露尚未公布的会议所议内容、表决过程及决定。</w:t>
      </w:r>
    </w:p>
    <w:p>
      <w:pPr>
        <w:keepNext w:val="0"/>
        <w:keepLines w:val="0"/>
        <w:pageBreakBefore w:val="0"/>
        <w:kinsoku/>
        <w:wordWrap/>
        <w:overflowPunct/>
        <w:topLinePunct w:val="0"/>
        <w:autoSpaceDE/>
        <w:autoSpaceDN/>
        <w:bidi w:val="0"/>
        <w:adjustRightInd/>
        <w:snapToGrid/>
        <w:spacing w:line="560" w:lineRule="exact"/>
        <w:ind w:right="0" w:rightChars="0" w:firstLine="600" w:firstLineChars="200"/>
        <w:textAlignment w:val="auto"/>
        <w:outlineLvl w:val="9"/>
        <w:rPr>
          <w:rFonts w:hint="eastAsia" w:ascii="仿宋_GB2312" w:hAnsi="宋体" w:eastAsia="仿宋_GB2312" w:cs="宋体"/>
          <w:color w:val="000000"/>
          <w:kern w:val="0"/>
          <w:sz w:val="30"/>
          <w:szCs w:val="30"/>
        </w:rPr>
      </w:pPr>
      <w:r>
        <w:rPr>
          <w:rFonts w:hint="eastAsia" w:ascii="仿宋_GB2312" w:hAnsi="宋体" w:eastAsia="仿宋_GB2312" w:cs="宋体"/>
          <w:color w:val="000000"/>
          <w:kern w:val="0"/>
          <w:sz w:val="30"/>
          <w:szCs w:val="30"/>
        </w:rPr>
        <w:t>本暂行办法由市工程建设项目招标投标工作联席会议办公室负责解释，自联席会议通过之日起施行。各县区（开发区）参照执行。</w:t>
      </w:r>
    </w:p>
    <w:p>
      <w:pPr>
        <w:keepNext w:val="0"/>
        <w:keepLines w:val="0"/>
        <w:pageBreakBefore w:val="0"/>
        <w:kinsoku/>
        <w:wordWrap/>
        <w:overflowPunct/>
        <w:topLinePunct w:val="0"/>
        <w:autoSpaceDE/>
        <w:autoSpaceDN/>
        <w:bidi w:val="0"/>
        <w:adjustRightInd/>
        <w:snapToGrid/>
        <w:spacing w:line="560" w:lineRule="exact"/>
        <w:ind w:right="0" w:rightChars="0" w:firstLine="600" w:firstLineChars="200"/>
        <w:textAlignment w:val="auto"/>
        <w:outlineLvl w:val="9"/>
        <w:rPr>
          <w:rFonts w:hint="eastAsia" w:ascii="仿宋_GB2312" w:hAnsi="宋体" w:eastAsia="仿宋_GB2312" w:cs="宋体"/>
          <w:color w:val="000000"/>
          <w:kern w:val="0"/>
          <w:sz w:val="30"/>
          <w:szCs w:val="30"/>
        </w:rPr>
      </w:pPr>
    </w:p>
    <w:p>
      <w:pPr>
        <w:keepNext w:val="0"/>
        <w:keepLines w:val="0"/>
        <w:pageBreakBefore w:val="0"/>
        <w:kinsoku/>
        <w:wordWrap/>
        <w:overflowPunct/>
        <w:topLinePunct w:val="0"/>
        <w:autoSpaceDE/>
        <w:autoSpaceDN/>
        <w:bidi w:val="0"/>
        <w:adjustRightInd/>
        <w:snapToGrid/>
        <w:spacing w:line="560" w:lineRule="exact"/>
        <w:ind w:right="0" w:rightChars="0" w:firstLine="600" w:firstLineChars="200"/>
        <w:textAlignment w:val="auto"/>
        <w:outlineLvl w:val="9"/>
        <w:rPr>
          <w:rFonts w:hint="eastAsia" w:ascii="仿宋_GB2312" w:hAnsi="宋体" w:eastAsia="仿宋_GB2312" w:cs="宋体"/>
          <w:color w:val="000000"/>
          <w:kern w:val="0"/>
          <w:sz w:val="30"/>
          <w:szCs w:val="30"/>
        </w:rPr>
      </w:pPr>
    </w:p>
    <w:p>
      <w:pPr>
        <w:keepNext w:val="0"/>
        <w:keepLines w:val="0"/>
        <w:pageBreakBefore w:val="0"/>
        <w:kinsoku/>
        <w:wordWrap/>
        <w:overflowPunct/>
        <w:topLinePunct w:val="0"/>
        <w:autoSpaceDE/>
        <w:autoSpaceDN/>
        <w:bidi w:val="0"/>
        <w:adjustRightInd/>
        <w:snapToGrid/>
        <w:spacing w:line="560" w:lineRule="exact"/>
        <w:ind w:right="0" w:rightChars="0" w:firstLine="600" w:firstLineChars="200"/>
        <w:textAlignment w:val="auto"/>
        <w:outlineLvl w:val="9"/>
        <w:rPr>
          <w:rFonts w:hint="eastAsia" w:ascii="仿宋_GB2312" w:hAnsi="宋体" w:eastAsia="仿宋_GB2312" w:cs="宋体"/>
          <w:color w:val="000000"/>
          <w:kern w:val="0"/>
          <w:sz w:val="30"/>
          <w:szCs w:val="30"/>
        </w:rPr>
      </w:pPr>
    </w:p>
    <w:p>
      <w:pPr>
        <w:keepNext w:val="0"/>
        <w:keepLines w:val="0"/>
        <w:pageBreakBefore w:val="0"/>
        <w:kinsoku/>
        <w:wordWrap/>
        <w:overflowPunct/>
        <w:topLinePunct w:val="0"/>
        <w:autoSpaceDE/>
        <w:autoSpaceDN/>
        <w:bidi w:val="0"/>
        <w:adjustRightInd/>
        <w:snapToGrid/>
        <w:spacing w:line="560" w:lineRule="exact"/>
        <w:ind w:right="0" w:rightChars="0" w:firstLine="600" w:firstLineChars="200"/>
        <w:textAlignment w:val="auto"/>
        <w:outlineLvl w:val="9"/>
        <w:rPr>
          <w:rFonts w:hint="eastAsia" w:ascii="仿宋_GB2312" w:hAnsi="宋体" w:eastAsia="仿宋_GB2312" w:cs="宋体"/>
          <w:color w:val="000000"/>
          <w:kern w:val="0"/>
          <w:sz w:val="30"/>
          <w:szCs w:val="30"/>
        </w:rPr>
      </w:pPr>
    </w:p>
    <w:p>
      <w:pPr>
        <w:keepNext w:val="0"/>
        <w:keepLines w:val="0"/>
        <w:pageBreakBefore w:val="0"/>
        <w:kinsoku/>
        <w:wordWrap/>
        <w:overflowPunct/>
        <w:topLinePunct w:val="0"/>
        <w:autoSpaceDE/>
        <w:autoSpaceDN/>
        <w:bidi w:val="0"/>
        <w:adjustRightInd/>
        <w:snapToGrid/>
        <w:spacing w:line="560" w:lineRule="exact"/>
        <w:ind w:right="0" w:rightChars="0" w:firstLine="600" w:firstLineChars="200"/>
        <w:textAlignment w:val="auto"/>
        <w:outlineLvl w:val="9"/>
        <w:rPr>
          <w:rFonts w:hint="eastAsia" w:ascii="仿宋_GB2312" w:hAnsi="宋体" w:eastAsia="仿宋_GB2312" w:cs="宋体"/>
          <w:color w:val="000000"/>
          <w:kern w:val="0"/>
          <w:sz w:val="30"/>
          <w:szCs w:val="30"/>
        </w:rPr>
      </w:pPr>
    </w:p>
    <w:p>
      <w:pPr>
        <w:keepNext w:val="0"/>
        <w:keepLines w:val="0"/>
        <w:pageBreakBefore w:val="0"/>
        <w:kinsoku/>
        <w:wordWrap/>
        <w:overflowPunct/>
        <w:topLinePunct w:val="0"/>
        <w:autoSpaceDE/>
        <w:autoSpaceDN/>
        <w:bidi w:val="0"/>
        <w:adjustRightInd/>
        <w:snapToGrid/>
        <w:spacing w:line="560" w:lineRule="exact"/>
        <w:ind w:right="0" w:rightChars="0" w:firstLine="600" w:firstLineChars="200"/>
        <w:textAlignment w:val="auto"/>
        <w:outlineLvl w:val="9"/>
        <w:rPr>
          <w:rFonts w:hint="eastAsia" w:ascii="仿宋_GB2312" w:hAnsi="宋体" w:eastAsia="仿宋_GB2312" w:cs="宋体"/>
          <w:color w:val="000000"/>
          <w:kern w:val="0"/>
          <w:sz w:val="30"/>
          <w:szCs w:val="30"/>
        </w:rPr>
      </w:pPr>
    </w:p>
    <w:p>
      <w:pPr>
        <w:keepNext w:val="0"/>
        <w:keepLines w:val="0"/>
        <w:pageBreakBefore w:val="0"/>
        <w:kinsoku/>
        <w:wordWrap/>
        <w:overflowPunct/>
        <w:topLinePunct w:val="0"/>
        <w:autoSpaceDE/>
        <w:autoSpaceDN/>
        <w:bidi w:val="0"/>
        <w:adjustRightInd/>
        <w:snapToGrid/>
        <w:spacing w:line="560" w:lineRule="exact"/>
        <w:ind w:right="0" w:rightChars="0" w:firstLine="600" w:firstLineChars="200"/>
        <w:textAlignment w:val="auto"/>
        <w:outlineLvl w:val="9"/>
        <w:rPr>
          <w:rFonts w:hint="eastAsia" w:ascii="仿宋_GB2312" w:hAnsi="宋体" w:eastAsia="仿宋_GB2312" w:cs="宋体"/>
          <w:color w:val="000000"/>
          <w:kern w:val="0"/>
          <w:sz w:val="30"/>
          <w:szCs w:val="30"/>
        </w:rPr>
      </w:pPr>
    </w:p>
    <w:p>
      <w:pPr>
        <w:keepNext w:val="0"/>
        <w:keepLines w:val="0"/>
        <w:pageBreakBefore w:val="0"/>
        <w:kinsoku/>
        <w:wordWrap/>
        <w:overflowPunct/>
        <w:topLinePunct w:val="0"/>
        <w:autoSpaceDE/>
        <w:autoSpaceDN/>
        <w:bidi w:val="0"/>
        <w:adjustRightInd/>
        <w:snapToGrid/>
        <w:spacing w:line="560" w:lineRule="exact"/>
        <w:ind w:right="0" w:rightChars="0" w:firstLine="600" w:firstLineChars="200"/>
        <w:textAlignment w:val="auto"/>
        <w:outlineLvl w:val="9"/>
        <w:rPr>
          <w:rFonts w:hint="eastAsia" w:ascii="仿宋_GB2312" w:hAnsi="宋体" w:eastAsia="仿宋_GB2312" w:cs="宋体"/>
          <w:color w:val="000000"/>
          <w:kern w:val="0"/>
          <w:sz w:val="30"/>
          <w:szCs w:val="30"/>
        </w:rPr>
      </w:pPr>
    </w:p>
    <w:p>
      <w:pPr>
        <w:keepNext w:val="0"/>
        <w:keepLines w:val="0"/>
        <w:pageBreakBefore w:val="0"/>
        <w:kinsoku/>
        <w:wordWrap/>
        <w:overflowPunct/>
        <w:topLinePunct w:val="0"/>
        <w:autoSpaceDE/>
        <w:autoSpaceDN/>
        <w:bidi w:val="0"/>
        <w:adjustRightInd/>
        <w:snapToGrid/>
        <w:spacing w:line="560" w:lineRule="exact"/>
        <w:ind w:right="0" w:rightChars="0" w:firstLine="600" w:firstLineChars="200"/>
        <w:textAlignment w:val="auto"/>
        <w:outlineLvl w:val="9"/>
        <w:rPr>
          <w:rFonts w:hint="eastAsia" w:ascii="仿宋_GB2312" w:hAnsi="宋体" w:eastAsia="仿宋_GB2312" w:cs="宋体"/>
          <w:color w:val="000000"/>
          <w:kern w:val="0"/>
          <w:sz w:val="30"/>
          <w:szCs w:val="30"/>
        </w:rPr>
      </w:pPr>
    </w:p>
    <w:p>
      <w:pPr>
        <w:keepNext w:val="0"/>
        <w:keepLines w:val="0"/>
        <w:pageBreakBefore w:val="0"/>
        <w:kinsoku/>
        <w:wordWrap/>
        <w:overflowPunct/>
        <w:topLinePunct w:val="0"/>
        <w:autoSpaceDE/>
        <w:autoSpaceDN/>
        <w:bidi w:val="0"/>
        <w:adjustRightInd/>
        <w:snapToGrid/>
        <w:spacing w:line="560" w:lineRule="exact"/>
        <w:ind w:right="0" w:rightChars="0" w:firstLine="600" w:firstLineChars="200"/>
        <w:textAlignment w:val="auto"/>
        <w:outlineLvl w:val="9"/>
        <w:rPr>
          <w:rFonts w:hint="eastAsia" w:ascii="仿宋_GB2312" w:hAnsi="宋体" w:eastAsia="仿宋_GB2312" w:cs="宋体"/>
          <w:color w:val="000000"/>
          <w:kern w:val="0"/>
          <w:sz w:val="30"/>
          <w:szCs w:val="30"/>
        </w:rPr>
      </w:pPr>
    </w:p>
    <w:p>
      <w:pPr>
        <w:keepNext w:val="0"/>
        <w:keepLines w:val="0"/>
        <w:pageBreakBefore w:val="0"/>
        <w:kinsoku/>
        <w:wordWrap/>
        <w:overflowPunct/>
        <w:topLinePunct w:val="0"/>
        <w:autoSpaceDE/>
        <w:autoSpaceDN/>
        <w:bidi w:val="0"/>
        <w:adjustRightInd/>
        <w:snapToGrid/>
        <w:spacing w:line="560" w:lineRule="exact"/>
        <w:ind w:right="0" w:rightChars="0" w:firstLine="600" w:firstLineChars="200"/>
        <w:textAlignment w:val="auto"/>
        <w:outlineLvl w:val="9"/>
        <w:rPr>
          <w:rFonts w:hint="eastAsia" w:ascii="仿宋_GB2312" w:hAnsi="宋体" w:eastAsia="仿宋_GB2312" w:cs="宋体"/>
          <w:color w:val="000000"/>
          <w:kern w:val="0"/>
          <w:sz w:val="30"/>
          <w:szCs w:val="30"/>
        </w:rPr>
      </w:pPr>
    </w:p>
    <w:p>
      <w:pPr>
        <w:keepNext w:val="0"/>
        <w:keepLines w:val="0"/>
        <w:pageBreakBefore w:val="0"/>
        <w:kinsoku/>
        <w:wordWrap/>
        <w:overflowPunct/>
        <w:topLinePunct w:val="0"/>
        <w:autoSpaceDE/>
        <w:autoSpaceDN/>
        <w:bidi w:val="0"/>
        <w:adjustRightInd/>
        <w:snapToGrid/>
        <w:spacing w:line="560" w:lineRule="exact"/>
        <w:ind w:right="0" w:rightChars="0" w:firstLine="600" w:firstLineChars="200"/>
        <w:textAlignment w:val="auto"/>
        <w:outlineLvl w:val="9"/>
        <w:rPr>
          <w:rFonts w:hint="eastAsia" w:ascii="仿宋_GB2312" w:hAnsi="宋体" w:eastAsia="仿宋_GB2312" w:cs="宋体"/>
          <w:color w:val="000000"/>
          <w:kern w:val="0"/>
          <w:sz w:val="30"/>
          <w:szCs w:val="30"/>
        </w:rPr>
      </w:pPr>
    </w:p>
    <w:p>
      <w:pPr>
        <w:keepNext w:val="0"/>
        <w:keepLines w:val="0"/>
        <w:pageBreakBefore w:val="0"/>
        <w:kinsoku/>
        <w:wordWrap/>
        <w:overflowPunct/>
        <w:topLinePunct w:val="0"/>
        <w:autoSpaceDE/>
        <w:autoSpaceDN/>
        <w:bidi w:val="0"/>
        <w:adjustRightInd/>
        <w:snapToGrid/>
        <w:spacing w:line="560" w:lineRule="exact"/>
        <w:ind w:right="0" w:rightChars="0" w:firstLine="600" w:firstLineChars="200"/>
        <w:textAlignment w:val="auto"/>
        <w:outlineLvl w:val="9"/>
        <w:rPr>
          <w:rFonts w:hint="eastAsia" w:ascii="仿宋_GB2312" w:hAnsi="宋体" w:eastAsia="仿宋_GB2312" w:cs="宋体"/>
          <w:color w:val="000000"/>
          <w:kern w:val="0"/>
          <w:sz w:val="30"/>
          <w:szCs w:val="30"/>
        </w:rPr>
      </w:pPr>
    </w:p>
    <w:p>
      <w:pPr>
        <w:keepNext w:val="0"/>
        <w:keepLines w:val="0"/>
        <w:pageBreakBefore w:val="0"/>
        <w:kinsoku/>
        <w:wordWrap/>
        <w:overflowPunct/>
        <w:topLinePunct w:val="0"/>
        <w:autoSpaceDE/>
        <w:autoSpaceDN/>
        <w:bidi w:val="0"/>
        <w:adjustRightInd/>
        <w:snapToGrid/>
        <w:spacing w:line="560" w:lineRule="exact"/>
        <w:ind w:right="0" w:rightChars="0" w:firstLine="600" w:firstLineChars="200"/>
        <w:textAlignment w:val="auto"/>
        <w:outlineLvl w:val="9"/>
        <w:rPr>
          <w:rFonts w:hint="eastAsia" w:ascii="仿宋_GB2312" w:hAnsi="宋体" w:eastAsia="仿宋_GB2312" w:cs="宋体"/>
          <w:color w:val="000000"/>
          <w:kern w:val="0"/>
          <w:sz w:val="30"/>
          <w:szCs w:val="30"/>
        </w:rPr>
      </w:pPr>
    </w:p>
    <w:p>
      <w:pPr>
        <w:keepNext w:val="0"/>
        <w:keepLines w:val="0"/>
        <w:pageBreakBefore w:val="0"/>
        <w:kinsoku/>
        <w:wordWrap/>
        <w:overflowPunct/>
        <w:topLinePunct w:val="0"/>
        <w:autoSpaceDE/>
        <w:autoSpaceDN/>
        <w:bidi w:val="0"/>
        <w:adjustRightInd/>
        <w:snapToGrid/>
        <w:spacing w:line="560" w:lineRule="exact"/>
        <w:ind w:right="0" w:rightChars="0" w:firstLine="600" w:firstLineChars="200"/>
        <w:textAlignment w:val="auto"/>
        <w:outlineLvl w:val="9"/>
        <w:rPr>
          <w:rFonts w:hint="eastAsia" w:ascii="仿宋_GB2312" w:hAnsi="宋体" w:eastAsia="仿宋_GB2312" w:cs="宋体"/>
          <w:color w:val="000000"/>
          <w:kern w:val="0"/>
          <w:sz w:val="30"/>
          <w:szCs w:val="30"/>
        </w:rPr>
      </w:pPr>
    </w:p>
    <w:p>
      <w:pPr>
        <w:keepNext w:val="0"/>
        <w:keepLines w:val="0"/>
        <w:pageBreakBefore w:val="0"/>
        <w:kinsoku/>
        <w:wordWrap/>
        <w:overflowPunct/>
        <w:topLinePunct w:val="0"/>
        <w:autoSpaceDE/>
        <w:autoSpaceDN/>
        <w:bidi w:val="0"/>
        <w:adjustRightInd/>
        <w:snapToGrid/>
        <w:spacing w:line="560" w:lineRule="exact"/>
        <w:ind w:right="0" w:rightChars="0" w:firstLine="600" w:firstLineChars="200"/>
        <w:textAlignment w:val="auto"/>
        <w:outlineLvl w:val="9"/>
        <w:rPr>
          <w:rFonts w:hint="eastAsia" w:ascii="仿宋_GB2312" w:hAnsi="宋体" w:eastAsia="仿宋_GB2312" w:cs="宋体"/>
          <w:color w:val="000000"/>
          <w:kern w:val="0"/>
          <w:sz w:val="30"/>
          <w:szCs w:val="30"/>
        </w:rPr>
      </w:pPr>
    </w:p>
    <w:p>
      <w:pPr>
        <w:keepNext w:val="0"/>
        <w:keepLines w:val="0"/>
        <w:pageBreakBefore w:val="0"/>
        <w:kinsoku/>
        <w:wordWrap/>
        <w:overflowPunct/>
        <w:topLinePunct w:val="0"/>
        <w:autoSpaceDE/>
        <w:autoSpaceDN/>
        <w:bidi w:val="0"/>
        <w:adjustRightInd/>
        <w:snapToGrid/>
        <w:spacing w:line="560" w:lineRule="exact"/>
        <w:ind w:right="0" w:rightChars="0" w:firstLine="600" w:firstLineChars="200"/>
        <w:textAlignment w:val="auto"/>
        <w:outlineLvl w:val="9"/>
        <w:rPr>
          <w:rFonts w:hint="eastAsia" w:ascii="仿宋_GB2312" w:hAnsi="宋体" w:eastAsia="仿宋_GB2312" w:cs="宋体"/>
          <w:color w:val="000000"/>
          <w:kern w:val="0"/>
          <w:sz w:val="30"/>
          <w:szCs w:val="30"/>
        </w:rPr>
      </w:pPr>
    </w:p>
    <w:p>
      <w:pPr>
        <w:keepNext w:val="0"/>
        <w:keepLines w:val="0"/>
        <w:pageBreakBefore w:val="0"/>
        <w:widowControl/>
        <w:kinsoku/>
        <w:wordWrap/>
        <w:overflowPunct/>
        <w:topLinePunct w:val="0"/>
        <w:autoSpaceDE/>
        <w:autoSpaceDN/>
        <w:bidi w:val="0"/>
        <w:adjustRightInd/>
        <w:snapToGrid/>
        <w:spacing w:line="560" w:lineRule="exact"/>
        <w:ind w:right="0" w:rightChars="0"/>
        <w:textAlignment w:val="auto"/>
        <w:outlineLvl w:val="9"/>
        <w:rPr>
          <w:rFonts w:hint="eastAsia" w:ascii="仿宋_GB2312" w:hAnsi="宋体" w:eastAsia="仿宋_GB2312"/>
          <w:sz w:val="30"/>
          <w:szCs w:val="30"/>
        </w:rPr>
      </w:pPr>
    </w:p>
    <w:p>
      <w:pPr>
        <w:keepNext w:val="0"/>
        <w:keepLines w:val="0"/>
        <w:pageBreakBefore w:val="0"/>
        <w:widowControl/>
        <w:kinsoku/>
        <w:wordWrap/>
        <w:overflowPunct/>
        <w:topLinePunct w:val="0"/>
        <w:autoSpaceDE/>
        <w:autoSpaceDN/>
        <w:bidi w:val="0"/>
        <w:adjustRightInd/>
        <w:snapToGrid/>
        <w:spacing w:line="560" w:lineRule="exact"/>
        <w:ind w:right="0" w:rightChars="0"/>
        <w:textAlignment w:val="auto"/>
        <w:outlineLvl w:val="9"/>
        <w:rPr>
          <w:rFonts w:hint="eastAsia" w:ascii="仿宋_GB2312" w:hAnsi="宋体" w:eastAsia="仿宋_GB2312"/>
          <w:sz w:val="30"/>
          <w:szCs w:val="30"/>
        </w:rPr>
      </w:pPr>
      <w:r>
        <w:rPr>
          <w:rFonts w:hint="eastAsia" w:ascii="仿宋_GB2312" w:hAnsi="宋体" w:eastAsia="仿宋_GB2312"/>
          <w:sz w:val="30"/>
          <w:szCs w:val="30"/>
        </w:rPr>
        <w:t>附件2：</w:t>
      </w:r>
    </w:p>
    <w:p>
      <w:pPr>
        <w:keepNext w:val="0"/>
        <w:keepLines w:val="0"/>
        <w:pageBreakBefore w:val="0"/>
        <w:widowControl/>
        <w:kinsoku/>
        <w:wordWrap/>
        <w:overflowPunct/>
        <w:topLinePunct w:val="0"/>
        <w:autoSpaceDE/>
        <w:autoSpaceDN/>
        <w:bidi w:val="0"/>
        <w:adjustRightInd/>
        <w:snapToGrid/>
        <w:spacing w:line="560" w:lineRule="exact"/>
        <w:ind w:right="0" w:rightChars="0"/>
        <w:jc w:val="center"/>
        <w:textAlignment w:val="auto"/>
        <w:outlineLvl w:val="9"/>
        <w:rPr>
          <w:rFonts w:hint="eastAsia" w:ascii="宋体" w:hAnsi="宋体"/>
          <w:b/>
          <w:sz w:val="32"/>
          <w:szCs w:val="32"/>
        </w:rPr>
      </w:pPr>
      <w:r>
        <w:rPr>
          <w:rFonts w:hint="eastAsia" w:ascii="宋体" w:hAnsi="宋体"/>
          <w:b/>
          <w:sz w:val="32"/>
          <w:szCs w:val="32"/>
        </w:rPr>
        <w:t>南昌市工程建设项目招投标失信惩戒暂行办法</w:t>
      </w:r>
    </w:p>
    <w:p>
      <w:pPr>
        <w:keepNext w:val="0"/>
        <w:keepLines w:val="0"/>
        <w:pageBreakBefore w:val="0"/>
        <w:widowControl/>
        <w:shd w:val="clear" w:color="auto" w:fill="FFFFFF"/>
        <w:kinsoku/>
        <w:wordWrap/>
        <w:overflowPunct/>
        <w:topLinePunct w:val="0"/>
        <w:autoSpaceDE/>
        <w:autoSpaceDN/>
        <w:bidi w:val="0"/>
        <w:adjustRightInd/>
        <w:snapToGrid/>
        <w:spacing w:line="560" w:lineRule="exact"/>
        <w:ind w:right="0" w:rightChars="0"/>
        <w:textAlignment w:val="auto"/>
        <w:outlineLvl w:val="9"/>
        <w:rPr>
          <w:rFonts w:hint="eastAsia" w:ascii="仿宋_GB2312" w:hAnsi="宋体" w:eastAsia="仿宋_GB2312" w:cs="宋体"/>
          <w:color w:val="000000"/>
          <w:kern w:val="0"/>
          <w:sz w:val="32"/>
          <w:szCs w:val="32"/>
        </w:rPr>
      </w:pPr>
    </w:p>
    <w:p>
      <w:pPr>
        <w:keepNext w:val="0"/>
        <w:keepLines w:val="0"/>
        <w:pageBreakBefore w:val="0"/>
        <w:widowControl/>
        <w:kinsoku/>
        <w:wordWrap/>
        <w:overflowPunct/>
        <w:topLinePunct w:val="0"/>
        <w:autoSpaceDE/>
        <w:autoSpaceDN/>
        <w:bidi w:val="0"/>
        <w:adjustRightInd/>
        <w:snapToGrid/>
        <w:spacing w:line="560" w:lineRule="exact"/>
        <w:ind w:right="0" w:rightChars="0" w:firstLine="594" w:firstLineChars="198"/>
        <w:textAlignment w:val="auto"/>
        <w:outlineLvl w:val="9"/>
        <w:rPr>
          <w:rFonts w:hint="eastAsia" w:ascii="仿宋_GB2312" w:hAnsi="Arial" w:eastAsia="仿宋_GB2312" w:cs="Arial"/>
          <w:color w:val="000000"/>
          <w:kern w:val="0"/>
          <w:sz w:val="30"/>
          <w:szCs w:val="30"/>
        </w:rPr>
      </w:pPr>
      <w:r>
        <w:rPr>
          <w:rFonts w:hint="eastAsia" w:ascii="仿宋_GB2312" w:hAnsi="宋体" w:eastAsia="仿宋_GB2312" w:cs="宋体"/>
          <w:color w:val="000000"/>
          <w:kern w:val="0"/>
          <w:sz w:val="30"/>
          <w:szCs w:val="30"/>
        </w:rPr>
        <w:t>　</w:t>
      </w:r>
      <w:r>
        <w:rPr>
          <w:rFonts w:hint="eastAsia" w:ascii="仿宋_GB2312" w:eastAsia="仿宋_GB2312"/>
          <w:b/>
          <w:sz w:val="30"/>
          <w:szCs w:val="30"/>
        </w:rPr>
        <w:t>第一条</w:t>
      </w:r>
      <w:r>
        <w:rPr>
          <w:rFonts w:hint="eastAsia" w:ascii="仿宋_GB2312" w:eastAsia="仿宋_GB2312"/>
          <w:sz w:val="30"/>
          <w:szCs w:val="30"/>
        </w:rPr>
        <w:t xml:space="preserve">  </w:t>
      </w:r>
      <w:r>
        <w:rPr>
          <w:rFonts w:hint="eastAsia" w:ascii="仿宋_GB2312" w:hAnsi="宋体" w:eastAsia="仿宋_GB2312"/>
          <w:sz w:val="30"/>
          <w:szCs w:val="30"/>
        </w:rPr>
        <w:t>为</w:t>
      </w:r>
      <w:r>
        <w:rPr>
          <w:rFonts w:hint="eastAsia" w:ascii="仿宋_GB2312" w:hAnsi="宋体" w:eastAsia="仿宋_GB2312" w:cs="宋体"/>
          <w:kern w:val="0"/>
          <w:sz w:val="30"/>
          <w:szCs w:val="30"/>
        </w:rPr>
        <w:t>进一步加强工程建设领域招投标信用建设，</w:t>
      </w:r>
      <w:r>
        <w:rPr>
          <w:rFonts w:hint="eastAsia" w:ascii="仿宋_GB2312" w:eastAsia="仿宋_GB2312"/>
          <w:sz w:val="30"/>
          <w:szCs w:val="30"/>
        </w:rPr>
        <w:t>增强招投标活动参与各方守法、信用、履约意识，惩戒失信不良行为，</w:t>
      </w:r>
      <w:r>
        <w:rPr>
          <w:rFonts w:hint="eastAsia" w:ascii="仿宋_GB2312" w:hAnsi="宋体" w:eastAsia="仿宋_GB2312" w:cs="宋体"/>
          <w:kern w:val="0"/>
          <w:sz w:val="30"/>
          <w:szCs w:val="30"/>
        </w:rPr>
        <w:t>维护市场公平竞争</w:t>
      </w:r>
      <w:r>
        <w:rPr>
          <w:rFonts w:hint="eastAsia" w:ascii="仿宋_GB2312" w:hAnsi="宋体" w:eastAsia="仿宋_GB2312"/>
          <w:kern w:val="0"/>
          <w:sz w:val="30"/>
          <w:szCs w:val="30"/>
        </w:rPr>
        <w:t>,创建</w:t>
      </w:r>
      <w:r>
        <w:rPr>
          <w:rFonts w:hint="eastAsia" w:ascii="仿宋_GB2312" w:hAnsi="宋体" w:eastAsia="仿宋_GB2312" w:cs="宋体"/>
          <w:kern w:val="0"/>
          <w:sz w:val="30"/>
          <w:szCs w:val="30"/>
        </w:rPr>
        <w:t>工程建设招投标经济报价与诚信评级综合评价的招标模式，</w:t>
      </w:r>
      <w:r>
        <w:rPr>
          <w:rFonts w:hint="eastAsia" w:ascii="仿宋_GB2312" w:eastAsia="仿宋_GB2312"/>
          <w:sz w:val="30"/>
          <w:szCs w:val="30"/>
        </w:rPr>
        <w:t>根据《中华人民共和国招标投标法》</w:t>
      </w:r>
      <w:r>
        <w:rPr>
          <w:rFonts w:hint="eastAsia" w:ascii="仿宋_GB2312" w:hAnsi="Arial" w:eastAsia="仿宋_GB2312" w:cs="Arial"/>
          <w:color w:val="000000"/>
          <w:kern w:val="0"/>
          <w:sz w:val="30"/>
          <w:szCs w:val="30"/>
        </w:rPr>
        <w:t>、</w:t>
      </w:r>
      <w:r>
        <w:rPr>
          <w:rFonts w:hint="eastAsia" w:ascii="仿宋_GB2312" w:hAnsi="Verdana" w:eastAsia="仿宋_GB2312" w:cs="宋体"/>
          <w:kern w:val="0"/>
          <w:sz w:val="30"/>
          <w:szCs w:val="30"/>
        </w:rPr>
        <w:t>《关于社会信用体系建设的若干意见》（</w:t>
      </w:r>
      <w:r>
        <w:rPr>
          <w:rFonts w:hint="eastAsia" w:ascii="仿宋_GB2312" w:hAnsi="宋体" w:eastAsia="仿宋_GB2312" w:cs="宋体"/>
          <w:kern w:val="0"/>
          <w:sz w:val="30"/>
          <w:szCs w:val="30"/>
        </w:rPr>
        <w:t>国办发〔2007〕17号）、</w:t>
      </w:r>
      <w:r>
        <w:rPr>
          <w:rFonts w:hint="eastAsia" w:ascii="仿宋_GB2312" w:hAnsi="Arial" w:eastAsia="仿宋_GB2312" w:cs="Arial"/>
          <w:color w:val="000000"/>
          <w:kern w:val="0"/>
          <w:sz w:val="30"/>
          <w:szCs w:val="30"/>
        </w:rPr>
        <w:t>《江西省实施＜中华人民共和国招标投标法＞办法》和《南昌市人民政府关于加强政府投资工程建设项目施工招标投标监管工作的意见》（洪府发</w:t>
      </w:r>
      <w:r>
        <w:rPr>
          <w:rFonts w:hint="eastAsia" w:ascii="仿宋_GB2312" w:hAnsi="宋体" w:eastAsia="仿宋_GB2312" w:cs="宋体"/>
          <w:kern w:val="0"/>
          <w:sz w:val="30"/>
          <w:szCs w:val="30"/>
        </w:rPr>
        <w:t>〔2010〕15号</w:t>
      </w:r>
      <w:r>
        <w:rPr>
          <w:rFonts w:hint="eastAsia" w:ascii="仿宋_GB2312" w:hAnsi="Arial" w:eastAsia="仿宋_GB2312" w:cs="Arial"/>
          <w:color w:val="000000"/>
          <w:kern w:val="0"/>
          <w:sz w:val="30"/>
          <w:szCs w:val="30"/>
        </w:rPr>
        <w:t>）及有关法律法规和建设信用南昌的要求，制定本暂行办法。</w:t>
      </w:r>
    </w:p>
    <w:p>
      <w:pPr>
        <w:keepNext w:val="0"/>
        <w:keepLines w:val="0"/>
        <w:pageBreakBefore w:val="0"/>
        <w:kinsoku/>
        <w:wordWrap/>
        <w:overflowPunct/>
        <w:topLinePunct w:val="0"/>
        <w:autoSpaceDE/>
        <w:autoSpaceDN/>
        <w:bidi w:val="0"/>
        <w:adjustRightInd/>
        <w:snapToGrid/>
        <w:spacing w:line="560" w:lineRule="exact"/>
        <w:ind w:right="0" w:rightChars="0" w:firstLine="593" w:firstLineChars="197"/>
        <w:textAlignment w:val="auto"/>
        <w:outlineLvl w:val="9"/>
        <w:rPr>
          <w:rFonts w:hint="eastAsia" w:ascii="仿宋_GB2312" w:eastAsia="仿宋_GB2312"/>
          <w:sz w:val="30"/>
          <w:szCs w:val="30"/>
        </w:rPr>
      </w:pPr>
      <w:r>
        <w:rPr>
          <w:rFonts w:hint="eastAsia" w:ascii="仿宋_GB2312" w:eastAsia="仿宋_GB2312"/>
          <w:b/>
          <w:sz w:val="30"/>
          <w:szCs w:val="30"/>
        </w:rPr>
        <w:t>第二条</w:t>
      </w:r>
      <w:r>
        <w:rPr>
          <w:rFonts w:hint="eastAsia" w:ascii="仿宋_GB2312" w:eastAsia="仿宋_GB2312"/>
          <w:sz w:val="30"/>
          <w:szCs w:val="30"/>
        </w:rPr>
        <w:t xml:space="preserve">   </w:t>
      </w:r>
      <w:r>
        <w:rPr>
          <w:rFonts w:hint="eastAsia" w:ascii="仿宋_GB2312" w:hAnsi="宋体" w:eastAsia="仿宋_GB2312" w:cs="宋体"/>
          <w:kern w:val="0"/>
          <w:sz w:val="30"/>
          <w:szCs w:val="30"/>
        </w:rPr>
        <w:t>在本市行政区域内，从事工程建设项目招投标活动，以及进行工程建设项目招投标活动的监督管理应当遵守本暂行办法。</w:t>
      </w:r>
    </w:p>
    <w:p>
      <w:pPr>
        <w:keepNext w:val="0"/>
        <w:keepLines w:val="0"/>
        <w:pageBreakBefore w:val="0"/>
        <w:kinsoku/>
        <w:wordWrap/>
        <w:overflowPunct/>
        <w:topLinePunct w:val="0"/>
        <w:autoSpaceDE/>
        <w:autoSpaceDN/>
        <w:bidi w:val="0"/>
        <w:adjustRightInd/>
        <w:snapToGrid/>
        <w:spacing w:line="560" w:lineRule="exact"/>
        <w:ind w:right="0" w:rightChars="0" w:firstLine="600" w:firstLineChars="200"/>
        <w:textAlignment w:val="auto"/>
        <w:outlineLvl w:val="9"/>
        <w:rPr>
          <w:rFonts w:hint="eastAsia" w:ascii="仿宋_GB2312" w:eastAsia="仿宋_GB2312" w:cs="宋体"/>
          <w:kern w:val="0"/>
          <w:sz w:val="30"/>
          <w:szCs w:val="30"/>
        </w:rPr>
      </w:pPr>
      <w:r>
        <w:rPr>
          <w:rFonts w:hint="eastAsia" w:ascii="仿宋_GB2312" w:hAnsi="宋体" w:eastAsia="仿宋_GB2312"/>
          <w:sz w:val="30"/>
          <w:szCs w:val="30"/>
        </w:rPr>
        <w:t>招标人、项目代建</w:t>
      </w:r>
      <w:r>
        <w:rPr>
          <w:rFonts w:hint="eastAsia" w:ascii="仿宋_GB2312" w:hAnsi="宋体" w:eastAsia="仿宋_GB2312" w:cs="宋体"/>
          <w:kern w:val="0"/>
          <w:sz w:val="30"/>
          <w:szCs w:val="30"/>
        </w:rPr>
        <w:t>和施工、勘察、设计、监理、招标代理、造价咨询、材料供应等企业以及相关从业人员和评标专家，应当遵循依法依规和诚实信用的原则，参与工程建设项目招投标活动。</w:t>
      </w:r>
    </w:p>
    <w:p>
      <w:pPr>
        <w:keepNext w:val="0"/>
        <w:keepLines w:val="0"/>
        <w:pageBreakBefore w:val="0"/>
        <w:widowControl/>
        <w:kinsoku/>
        <w:wordWrap/>
        <w:overflowPunct/>
        <w:topLinePunct w:val="0"/>
        <w:autoSpaceDE/>
        <w:autoSpaceDN/>
        <w:bidi w:val="0"/>
        <w:adjustRightInd/>
        <w:snapToGrid/>
        <w:spacing w:line="560" w:lineRule="exact"/>
        <w:ind w:right="0" w:rightChars="0" w:firstLine="480"/>
        <w:jc w:val="left"/>
        <w:textAlignment w:val="auto"/>
        <w:outlineLvl w:val="9"/>
        <w:rPr>
          <w:rFonts w:hint="eastAsia" w:ascii="仿宋_GB2312" w:hAnsi="Arial" w:eastAsia="仿宋_GB2312" w:cs="Arial"/>
          <w:color w:val="000000"/>
          <w:kern w:val="0"/>
          <w:sz w:val="30"/>
          <w:szCs w:val="30"/>
        </w:rPr>
      </w:pPr>
      <w:r>
        <w:rPr>
          <w:rFonts w:hint="eastAsia" w:ascii="仿宋_GB2312" w:hAnsi="宋体" w:eastAsia="仿宋_GB2312" w:cs="Arial"/>
          <w:b/>
          <w:bCs/>
          <w:smallCaps/>
          <w:color w:val="000000"/>
          <w:kern w:val="0"/>
          <w:sz w:val="30"/>
          <w:szCs w:val="30"/>
        </w:rPr>
        <w:t>第三条</w:t>
      </w:r>
      <w:r>
        <w:rPr>
          <w:rFonts w:hint="eastAsia" w:ascii="仿宋_GB2312" w:hAnsi="Arial" w:eastAsia="仿宋_GB2312" w:cs="Arial"/>
          <w:color w:val="000000"/>
          <w:kern w:val="0"/>
          <w:sz w:val="30"/>
          <w:szCs w:val="30"/>
        </w:rPr>
        <w:t xml:space="preserve">  </w:t>
      </w:r>
      <w:r>
        <w:rPr>
          <w:rFonts w:hint="eastAsia" w:ascii="仿宋_GB2312" w:hAnsi="Arial" w:eastAsia="仿宋_GB2312" w:cs="Arial"/>
          <w:kern w:val="0"/>
          <w:sz w:val="30"/>
          <w:szCs w:val="30"/>
        </w:rPr>
        <w:t>建立工程建设项目招投标市场与工程施工现场联动的业务监管体系，对各参与方进行招投标活动和现场施工过程的失信不良行为依本法进行惩戒。</w:t>
      </w:r>
    </w:p>
    <w:p>
      <w:pPr>
        <w:keepNext w:val="0"/>
        <w:keepLines w:val="0"/>
        <w:pageBreakBefore w:val="0"/>
        <w:widowControl/>
        <w:kinsoku/>
        <w:wordWrap/>
        <w:overflowPunct/>
        <w:topLinePunct w:val="0"/>
        <w:autoSpaceDE/>
        <w:autoSpaceDN/>
        <w:bidi w:val="0"/>
        <w:adjustRightInd/>
        <w:snapToGrid/>
        <w:spacing w:line="560" w:lineRule="exact"/>
        <w:ind w:right="0" w:rightChars="0" w:firstLine="480"/>
        <w:jc w:val="left"/>
        <w:textAlignment w:val="auto"/>
        <w:outlineLvl w:val="9"/>
        <w:rPr>
          <w:rFonts w:hint="eastAsia" w:ascii="仿宋_GB2312" w:hAnsi="Arial" w:eastAsia="仿宋_GB2312" w:cs="Arial"/>
          <w:color w:val="000000"/>
          <w:kern w:val="0"/>
          <w:sz w:val="30"/>
          <w:szCs w:val="30"/>
        </w:rPr>
      </w:pPr>
      <w:r>
        <w:rPr>
          <w:rFonts w:hint="eastAsia" w:ascii="仿宋_GB2312" w:hAnsi="Arial" w:eastAsia="仿宋_GB2312" w:cs="Arial"/>
          <w:color w:val="000000"/>
          <w:kern w:val="0"/>
          <w:sz w:val="30"/>
          <w:szCs w:val="30"/>
        </w:rPr>
        <w:t>本办法所称招投标失信不良行为包括：</w:t>
      </w:r>
    </w:p>
    <w:p>
      <w:pPr>
        <w:keepNext w:val="0"/>
        <w:keepLines w:val="0"/>
        <w:pageBreakBefore w:val="0"/>
        <w:widowControl/>
        <w:kinsoku/>
        <w:wordWrap/>
        <w:overflowPunct/>
        <w:topLinePunct w:val="0"/>
        <w:autoSpaceDE/>
        <w:autoSpaceDN/>
        <w:bidi w:val="0"/>
        <w:adjustRightInd/>
        <w:snapToGrid/>
        <w:spacing w:line="560" w:lineRule="exact"/>
        <w:ind w:right="0" w:rightChars="0" w:firstLine="480"/>
        <w:jc w:val="left"/>
        <w:textAlignment w:val="auto"/>
        <w:outlineLvl w:val="9"/>
        <w:rPr>
          <w:rFonts w:hint="eastAsia" w:ascii="仿宋_GB2312" w:hAnsi="Arial" w:eastAsia="仿宋_GB2312" w:cs="Arial"/>
          <w:color w:val="000000"/>
          <w:kern w:val="0"/>
          <w:sz w:val="30"/>
          <w:szCs w:val="30"/>
        </w:rPr>
      </w:pPr>
      <w:r>
        <w:rPr>
          <w:rFonts w:hint="eastAsia" w:ascii="仿宋_GB2312" w:hAnsi="Arial" w:eastAsia="仿宋_GB2312" w:cs="Arial"/>
          <w:color w:val="000000"/>
          <w:kern w:val="0"/>
          <w:sz w:val="30"/>
          <w:szCs w:val="30"/>
        </w:rPr>
        <w:t>（一）违反国家、省、市有关投资管理、工程建设、招标投标、合同管理等相关的法律法规和规范性文件的行为；</w:t>
      </w:r>
    </w:p>
    <w:p>
      <w:pPr>
        <w:keepNext w:val="0"/>
        <w:keepLines w:val="0"/>
        <w:pageBreakBefore w:val="0"/>
        <w:widowControl/>
        <w:kinsoku/>
        <w:wordWrap/>
        <w:overflowPunct/>
        <w:topLinePunct w:val="0"/>
        <w:autoSpaceDE/>
        <w:autoSpaceDN/>
        <w:bidi w:val="0"/>
        <w:adjustRightInd/>
        <w:snapToGrid/>
        <w:spacing w:line="560" w:lineRule="exact"/>
        <w:ind w:right="0" w:rightChars="0" w:firstLine="480"/>
        <w:jc w:val="left"/>
        <w:textAlignment w:val="auto"/>
        <w:outlineLvl w:val="9"/>
        <w:rPr>
          <w:rFonts w:hint="eastAsia" w:ascii="仿宋_GB2312" w:hAnsi="Arial" w:eastAsia="仿宋_GB2312" w:cs="Arial"/>
          <w:color w:val="000000"/>
          <w:kern w:val="0"/>
          <w:sz w:val="30"/>
          <w:szCs w:val="30"/>
        </w:rPr>
      </w:pPr>
      <w:r>
        <w:rPr>
          <w:rFonts w:hint="eastAsia" w:ascii="仿宋_GB2312" w:hAnsi="Arial" w:eastAsia="仿宋_GB2312" w:cs="Arial"/>
          <w:color w:val="000000"/>
          <w:kern w:val="0"/>
          <w:sz w:val="30"/>
          <w:szCs w:val="30"/>
        </w:rPr>
        <w:t>（二）违反公平竞争、诚实信用原则的行为；</w:t>
      </w:r>
    </w:p>
    <w:p>
      <w:pPr>
        <w:keepNext w:val="0"/>
        <w:keepLines w:val="0"/>
        <w:pageBreakBefore w:val="0"/>
        <w:widowControl/>
        <w:kinsoku/>
        <w:wordWrap/>
        <w:overflowPunct/>
        <w:topLinePunct w:val="0"/>
        <w:autoSpaceDE/>
        <w:autoSpaceDN/>
        <w:bidi w:val="0"/>
        <w:adjustRightInd/>
        <w:snapToGrid/>
        <w:spacing w:line="560" w:lineRule="exact"/>
        <w:ind w:right="0" w:rightChars="0" w:firstLine="480"/>
        <w:jc w:val="left"/>
        <w:textAlignment w:val="auto"/>
        <w:outlineLvl w:val="9"/>
        <w:rPr>
          <w:rFonts w:hint="eastAsia" w:ascii="仿宋_GB2312" w:hAnsi="Arial" w:eastAsia="仿宋_GB2312" w:cs="Arial"/>
          <w:color w:val="000000"/>
          <w:kern w:val="0"/>
          <w:sz w:val="30"/>
          <w:szCs w:val="30"/>
        </w:rPr>
      </w:pPr>
      <w:r>
        <w:rPr>
          <w:rFonts w:hint="eastAsia" w:ascii="仿宋_GB2312" w:hAnsi="Arial" w:eastAsia="仿宋_GB2312" w:cs="Arial"/>
          <w:color w:val="000000"/>
          <w:kern w:val="0"/>
          <w:sz w:val="30"/>
          <w:szCs w:val="30"/>
        </w:rPr>
        <w:t>（三）妨碍或干扰监督管理的行为。</w:t>
      </w:r>
    </w:p>
    <w:p>
      <w:pPr>
        <w:keepNext w:val="0"/>
        <w:keepLines w:val="0"/>
        <w:pageBreakBefore w:val="0"/>
        <w:widowControl/>
        <w:kinsoku/>
        <w:wordWrap/>
        <w:overflowPunct/>
        <w:topLinePunct w:val="0"/>
        <w:autoSpaceDE/>
        <w:autoSpaceDN/>
        <w:bidi w:val="0"/>
        <w:adjustRightInd/>
        <w:snapToGrid/>
        <w:spacing w:line="560" w:lineRule="exact"/>
        <w:ind w:right="0" w:rightChars="0" w:firstLine="480"/>
        <w:jc w:val="left"/>
        <w:textAlignment w:val="auto"/>
        <w:outlineLvl w:val="9"/>
        <w:rPr>
          <w:rFonts w:hint="eastAsia" w:ascii="仿宋_GB2312" w:hAnsi="Arial" w:eastAsia="仿宋_GB2312" w:cs="Arial"/>
          <w:kern w:val="0"/>
          <w:sz w:val="30"/>
          <w:szCs w:val="30"/>
        </w:rPr>
      </w:pPr>
      <w:r>
        <w:rPr>
          <w:rFonts w:hint="eastAsia" w:ascii="仿宋_GB2312" w:hAnsi="Arial" w:eastAsia="仿宋_GB2312" w:cs="Arial"/>
          <w:kern w:val="0"/>
          <w:sz w:val="30"/>
          <w:szCs w:val="30"/>
        </w:rPr>
        <w:t>各行政监督部门依据各自职责结合日常行政监督和执法工作需要提出工程建设项目各参与方失信不良行为的类别、表现形式及公示标准报</w:t>
      </w:r>
      <w:r>
        <w:rPr>
          <w:rFonts w:hint="eastAsia" w:ascii="仿宋_GB2312" w:hAnsi="ˎ̥" w:eastAsia="仿宋_GB2312" w:cs="宋体"/>
          <w:kern w:val="0"/>
          <w:sz w:val="30"/>
          <w:szCs w:val="30"/>
        </w:rPr>
        <w:t>市</w:t>
      </w:r>
      <w:r>
        <w:rPr>
          <w:rFonts w:hint="eastAsia" w:ascii="仿宋_GB2312" w:hAnsi="Arial" w:eastAsia="仿宋_GB2312" w:cs="Arial"/>
          <w:kern w:val="0"/>
          <w:sz w:val="30"/>
          <w:szCs w:val="30"/>
        </w:rPr>
        <w:t>工程建设项目</w:t>
      </w:r>
      <w:r>
        <w:rPr>
          <w:rFonts w:hint="eastAsia" w:ascii="仿宋_GB2312" w:hAnsi="ˎ̥" w:eastAsia="仿宋_GB2312" w:cs="宋体"/>
          <w:kern w:val="0"/>
          <w:sz w:val="30"/>
          <w:szCs w:val="30"/>
        </w:rPr>
        <w:t>招标投标工作联席会议办公室汇总后，另行发布</w:t>
      </w:r>
      <w:r>
        <w:rPr>
          <w:rFonts w:hint="eastAsia" w:ascii="仿宋_GB2312" w:hAnsi="Arial" w:eastAsia="仿宋_GB2312" w:cs="Arial"/>
          <w:kern w:val="0"/>
          <w:sz w:val="30"/>
          <w:szCs w:val="30"/>
        </w:rPr>
        <w:t>。</w:t>
      </w:r>
    </w:p>
    <w:p>
      <w:pPr>
        <w:keepNext w:val="0"/>
        <w:keepLines w:val="0"/>
        <w:pageBreakBefore w:val="0"/>
        <w:kinsoku/>
        <w:wordWrap/>
        <w:overflowPunct/>
        <w:topLinePunct w:val="0"/>
        <w:autoSpaceDE/>
        <w:autoSpaceDN/>
        <w:bidi w:val="0"/>
        <w:adjustRightInd/>
        <w:snapToGrid/>
        <w:spacing w:line="560" w:lineRule="exact"/>
        <w:ind w:right="0" w:rightChars="0" w:firstLine="602" w:firstLineChars="200"/>
        <w:textAlignment w:val="auto"/>
        <w:outlineLvl w:val="9"/>
        <w:rPr>
          <w:rFonts w:hint="eastAsia" w:ascii="仿宋_GB2312" w:hAnsi="Arial" w:eastAsia="仿宋_GB2312" w:cs="Arial"/>
          <w:b/>
          <w:color w:val="000000"/>
          <w:kern w:val="0"/>
          <w:sz w:val="30"/>
          <w:szCs w:val="30"/>
        </w:rPr>
      </w:pPr>
      <w:r>
        <w:rPr>
          <w:rFonts w:hint="eastAsia" w:ascii="仿宋_GB2312" w:hAnsi="宋体" w:eastAsia="仿宋_GB2312" w:cs="Arial"/>
          <w:b/>
          <w:bCs/>
          <w:smallCaps/>
          <w:color w:val="000000"/>
          <w:kern w:val="0"/>
          <w:sz w:val="30"/>
          <w:szCs w:val="30"/>
        </w:rPr>
        <w:t>第四条</w:t>
      </w:r>
      <w:r>
        <w:rPr>
          <w:rFonts w:hint="eastAsia" w:ascii="仿宋_GB2312" w:hAnsi="Arial" w:eastAsia="仿宋_GB2312" w:cs="Arial"/>
          <w:b/>
          <w:color w:val="000000"/>
          <w:kern w:val="0"/>
          <w:sz w:val="30"/>
          <w:szCs w:val="30"/>
        </w:rPr>
        <w:t xml:space="preserve">  </w:t>
      </w:r>
      <w:r>
        <w:rPr>
          <w:rFonts w:hint="eastAsia" w:ascii="仿宋_GB2312" w:hAnsi="Arial" w:eastAsia="仿宋_GB2312" w:cs="Arial"/>
          <w:color w:val="000000"/>
          <w:kern w:val="0"/>
          <w:sz w:val="30"/>
          <w:szCs w:val="30"/>
        </w:rPr>
        <w:t>各级行政监督部门及其委托执法机构是招投标失信不良行为的认定和记录部门（以下简称为记录部门），受委托的执法机构应当以委托机关的名义进行失信不良行为的认定和记录。</w:t>
      </w:r>
    </w:p>
    <w:p>
      <w:pPr>
        <w:keepNext w:val="0"/>
        <w:keepLines w:val="0"/>
        <w:pageBreakBefore w:val="0"/>
        <w:kinsoku/>
        <w:wordWrap/>
        <w:overflowPunct/>
        <w:topLinePunct w:val="0"/>
        <w:autoSpaceDE/>
        <w:autoSpaceDN/>
        <w:bidi w:val="0"/>
        <w:adjustRightInd/>
        <w:snapToGrid/>
        <w:spacing w:line="560" w:lineRule="exact"/>
        <w:ind w:left="149" w:leftChars="71" w:right="0" w:rightChars="0" w:firstLine="452" w:firstLineChars="150"/>
        <w:textAlignment w:val="auto"/>
        <w:outlineLvl w:val="9"/>
        <w:rPr>
          <w:rFonts w:hint="eastAsia" w:ascii="仿宋_GB2312" w:eastAsia="仿宋_GB2312"/>
          <w:b/>
          <w:sz w:val="30"/>
          <w:szCs w:val="30"/>
        </w:rPr>
      </w:pPr>
      <w:r>
        <w:rPr>
          <w:rFonts w:hint="eastAsia" w:ascii="仿宋_GB2312" w:eastAsia="仿宋_GB2312"/>
          <w:b/>
          <w:sz w:val="30"/>
          <w:szCs w:val="30"/>
        </w:rPr>
        <w:t xml:space="preserve">第五条  </w:t>
      </w:r>
      <w:r>
        <w:rPr>
          <w:rFonts w:hint="eastAsia" w:ascii="仿宋_GB2312" w:eastAsia="仿宋_GB2312"/>
          <w:sz w:val="30"/>
          <w:szCs w:val="30"/>
        </w:rPr>
        <w:t>招投标失信不良行为应当经过下列文书认定：</w:t>
      </w:r>
    </w:p>
    <w:p>
      <w:pPr>
        <w:keepNext w:val="0"/>
        <w:keepLines w:val="0"/>
        <w:pageBreakBefore w:val="0"/>
        <w:kinsoku/>
        <w:wordWrap/>
        <w:overflowPunct/>
        <w:topLinePunct w:val="0"/>
        <w:autoSpaceDE/>
        <w:autoSpaceDN/>
        <w:bidi w:val="0"/>
        <w:adjustRightInd/>
        <w:snapToGrid/>
        <w:spacing w:line="560" w:lineRule="exact"/>
        <w:ind w:left="149" w:leftChars="71" w:right="0" w:rightChars="0" w:firstLine="450" w:firstLineChars="150"/>
        <w:textAlignment w:val="auto"/>
        <w:outlineLvl w:val="9"/>
        <w:rPr>
          <w:rFonts w:hint="eastAsia" w:ascii="仿宋_GB2312" w:eastAsia="仿宋_GB2312"/>
          <w:sz w:val="30"/>
          <w:szCs w:val="30"/>
        </w:rPr>
      </w:pPr>
      <w:r>
        <w:rPr>
          <w:rFonts w:hint="eastAsia" w:ascii="仿宋_GB2312" w:eastAsia="仿宋_GB2312"/>
          <w:sz w:val="30"/>
          <w:szCs w:val="30"/>
        </w:rPr>
        <w:t>（一） 生效的行政处罚决定书；</w:t>
      </w:r>
    </w:p>
    <w:p>
      <w:pPr>
        <w:keepNext w:val="0"/>
        <w:keepLines w:val="0"/>
        <w:pageBreakBefore w:val="0"/>
        <w:kinsoku/>
        <w:wordWrap/>
        <w:overflowPunct/>
        <w:topLinePunct w:val="0"/>
        <w:autoSpaceDE/>
        <w:autoSpaceDN/>
        <w:bidi w:val="0"/>
        <w:adjustRightInd/>
        <w:snapToGrid/>
        <w:spacing w:line="560" w:lineRule="exact"/>
        <w:ind w:left="149" w:leftChars="71" w:right="0" w:rightChars="0" w:firstLine="450" w:firstLineChars="150"/>
        <w:textAlignment w:val="auto"/>
        <w:outlineLvl w:val="9"/>
        <w:rPr>
          <w:rFonts w:hint="eastAsia" w:ascii="仿宋_GB2312" w:eastAsia="仿宋_GB2312"/>
          <w:sz w:val="30"/>
          <w:szCs w:val="30"/>
        </w:rPr>
      </w:pPr>
      <w:r>
        <w:rPr>
          <w:rFonts w:hint="eastAsia" w:ascii="仿宋_GB2312" w:eastAsia="仿宋_GB2312"/>
          <w:sz w:val="30"/>
          <w:szCs w:val="30"/>
        </w:rPr>
        <w:t>（二） 生效的判决书或仲裁裁决书；</w:t>
      </w:r>
    </w:p>
    <w:p>
      <w:pPr>
        <w:keepNext w:val="0"/>
        <w:keepLines w:val="0"/>
        <w:pageBreakBefore w:val="0"/>
        <w:kinsoku/>
        <w:wordWrap/>
        <w:overflowPunct/>
        <w:topLinePunct w:val="0"/>
        <w:autoSpaceDE/>
        <w:autoSpaceDN/>
        <w:bidi w:val="0"/>
        <w:adjustRightInd/>
        <w:snapToGrid/>
        <w:spacing w:line="560" w:lineRule="exact"/>
        <w:ind w:left="149" w:leftChars="71" w:right="0" w:rightChars="0" w:firstLine="450" w:firstLineChars="150"/>
        <w:textAlignment w:val="auto"/>
        <w:outlineLvl w:val="9"/>
        <w:rPr>
          <w:rFonts w:hint="eastAsia" w:ascii="仿宋_GB2312" w:eastAsia="仿宋_GB2312"/>
          <w:sz w:val="30"/>
          <w:szCs w:val="30"/>
        </w:rPr>
      </w:pPr>
      <w:r>
        <w:rPr>
          <w:rFonts w:hint="eastAsia" w:ascii="仿宋_GB2312" w:eastAsia="仿宋_GB2312"/>
          <w:sz w:val="30"/>
          <w:szCs w:val="30"/>
        </w:rPr>
        <w:t>（三） 行政监督部门签发的责令整改（停工）通知书 、失信不良行为认定书；</w:t>
      </w:r>
    </w:p>
    <w:p>
      <w:pPr>
        <w:keepNext w:val="0"/>
        <w:keepLines w:val="0"/>
        <w:pageBreakBefore w:val="0"/>
        <w:kinsoku/>
        <w:wordWrap/>
        <w:overflowPunct/>
        <w:topLinePunct w:val="0"/>
        <w:autoSpaceDE/>
        <w:autoSpaceDN/>
        <w:bidi w:val="0"/>
        <w:adjustRightInd/>
        <w:snapToGrid/>
        <w:spacing w:line="560" w:lineRule="exact"/>
        <w:ind w:left="149" w:leftChars="71" w:right="0" w:rightChars="0" w:firstLine="450" w:firstLineChars="150"/>
        <w:textAlignment w:val="auto"/>
        <w:outlineLvl w:val="9"/>
        <w:rPr>
          <w:rFonts w:hint="eastAsia" w:ascii="仿宋_GB2312" w:eastAsia="仿宋_GB2312"/>
          <w:sz w:val="30"/>
          <w:szCs w:val="30"/>
        </w:rPr>
      </w:pPr>
      <w:r>
        <w:rPr>
          <w:rFonts w:hint="eastAsia" w:ascii="仿宋_GB2312" w:eastAsia="仿宋_GB2312"/>
          <w:sz w:val="30"/>
          <w:szCs w:val="30"/>
        </w:rPr>
        <w:t>（四） 记录当事人有违反法律法规和规范性文件行为的其它文书。</w:t>
      </w:r>
    </w:p>
    <w:p>
      <w:pPr>
        <w:keepNext w:val="0"/>
        <w:keepLines w:val="0"/>
        <w:pageBreakBefore w:val="0"/>
        <w:widowControl/>
        <w:kinsoku/>
        <w:wordWrap/>
        <w:overflowPunct/>
        <w:topLinePunct w:val="0"/>
        <w:autoSpaceDE/>
        <w:autoSpaceDN/>
        <w:bidi w:val="0"/>
        <w:adjustRightInd/>
        <w:snapToGrid/>
        <w:spacing w:line="560" w:lineRule="exact"/>
        <w:ind w:right="0" w:rightChars="0" w:firstLine="629" w:firstLineChars="209"/>
        <w:jc w:val="left"/>
        <w:textAlignment w:val="auto"/>
        <w:outlineLvl w:val="9"/>
        <w:rPr>
          <w:rFonts w:hint="eastAsia" w:ascii="仿宋_GB2312" w:hAnsi="Arial" w:eastAsia="仿宋_GB2312" w:cs="Arial"/>
          <w:color w:val="000000"/>
          <w:kern w:val="0"/>
          <w:sz w:val="30"/>
          <w:szCs w:val="30"/>
        </w:rPr>
      </w:pPr>
      <w:r>
        <w:rPr>
          <w:rFonts w:hint="eastAsia" w:ascii="仿宋_GB2312" w:hAnsi="宋体" w:eastAsia="仿宋_GB2312" w:cs="Arial"/>
          <w:b/>
          <w:bCs/>
          <w:smallCaps/>
          <w:color w:val="000000"/>
          <w:kern w:val="0"/>
          <w:sz w:val="30"/>
          <w:szCs w:val="30"/>
        </w:rPr>
        <w:t>第六条</w:t>
      </w:r>
      <w:r>
        <w:rPr>
          <w:rFonts w:hint="eastAsia" w:ascii="仿宋_GB2312" w:hAnsi="Arial" w:eastAsia="仿宋_GB2312" w:cs="Arial"/>
          <w:color w:val="000000"/>
          <w:kern w:val="0"/>
          <w:sz w:val="30"/>
          <w:szCs w:val="30"/>
        </w:rPr>
        <w:t xml:space="preserve">  记录部门应当遵守下列记录规则：</w:t>
      </w:r>
    </w:p>
    <w:p>
      <w:pPr>
        <w:keepNext w:val="0"/>
        <w:keepLines w:val="0"/>
        <w:pageBreakBefore w:val="0"/>
        <w:widowControl/>
        <w:kinsoku/>
        <w:wordWrap/>
        <w:overflowPunct/>
        <w:topLinePunct w:val="0"/>
        <w:autoSpaceDE/>
        <w:autoSpaceDN/>
        <w:bidi w:val="0"/>
        <w:adjustRightInd/>
        <w:snapToGrid/>
        <w:spacing w:line="560" w:lineRule="exact"/>
        <w:ind w:right="0" w:rightChars="0" w:firstLine="480"/>
        <w:jc w:val="left"/>
        <w:textAlignment w:val="auto"/>
        <w:outlineLvl w:val="9"/>
        <w:rPr>
          <w:rFonts w:hint="eastAsia" w:ascii="仿宋_GB2312" w:hAnsi="Arial" w:eastAsia="仿宋_GB2312" w:cs="Arial"/>
          <w:color w:val="000000"/>
          <w:kern w:val="0"/>
          <w:sz w:val="30"/>
          <w:szCs w:val="30"/>
        </w:rPr>
      </w:pPr>
      <w:r>
        <w:rPr>
          <w:rFonts w:hint="eastAsia" w:ascii="仿宋_GB2312" w:hAnsi="Arial" w:eastAsia="仿宋_GB2312" w:cs="Arial"/>
          <w:color w:val="000000"/>
          <w:kern w:val="0"/>
          <w:sz w:val="30"/>
          <w:szCs w:val="30"/>
        </w:rPr>
        <w:t>（一）一份失信不良行为认定记录文书只对一个当事人的不良行为予以记录。</w:t>
      </w:r>
    </w:p>
    <w:p>
      <w:pPr>
        <w:keepNext w:val="0"/>
        <w:keepLines w:val="0"/>
        <w:pageBreakBefore w:val="0"/>
        <w:widowControl/>
        <w:kinsoku/>
        <w:wordWrap/>
        <w:overflowPunct/>
        <w:topLinePunct w:val="0"/>
        <w:autoSpaceDE/>
        <w:autoSpaceDN/>
        <w:bidi w:val="0"/>
        <w:adjustRightInd/>
        <w:snapToGrid/>
        <w:spacing w:line="560" w:lineRule="exact"/>
        <w:ind w:right="0" w:rightChars="0" w:firstLine="480"/>
        <w:jc w:val="left"/>
        <w:textAlignment w:val="auto"/>
        <w:outlineLvl w:val="9"/>
        <w:rPr>
          <w:rFonts w:hint="eastAsia" w:ascii="仿宋_GB2312" w:hAnsi="Arial" w:eastAsia="仿宋_GB2312" w:cs="Arial"/>
          <w:color w:val="000000"/>
          <w:kern w:val="0"/>
          <w:sz w:val="30"/>
          <w:szCs w:val="30"/>
        </w:rPr>
      </w:pPr>
      <w:r>
        <w:rPr>
          <w:rFonts w:hint="eastAsia" w:ascii="仿宋_GB2312" w:hAnsi="Arial" w:eastAsia="仿宋_GB2312" w:cs="Arial"/>
          <w:color w:val="000000"/>
          <w:kern w:val="0"/>
          <w:sz w:val="30"/>
          <w:szCs w:val="30"/>
        </w:rPr>
        <w:t>（二）企业因失信不良行为被记录的，对负有责任的企业负责人及项目负责人，分别认定和记录。</w:t>
      </w:r>
    </w:p>
    <w:p>
      <w:pPr>
        <w:keepNext w:val="0"/>
        <w:keepLines w:val="0"/>
        <w:pageBreakBefore w:val="0"/>
        <w:widowControl/>
        <w:kinsoku/>
        <w:wordWrap/>
        <w:overflowPunct/>
        <w:topLinePunct w:val="0"/>
        <w:autoSpaceDE/>
        <w:autoSpaceDN/>
        <w:bidi w:val="0"/>
        <w:adjustRightInd/>
        <w:snapToGrid/>
        <w:spacing w:line="560" w:lineRule="exact"/>
        <w:ind w:right="0" w:rightChars="0" w:firstLine="480"/>
        <w:jc w:val="left"/>
        <w:textAlignment w:val="auto"/>
        <w:outlineLvl w:val="9"/>
        <w:rPr>
          <w:rFonts w:hint="eastAsia" w:ascii="仿宋_GB2312" w:hAnsi="Arial" w:eastAsia="仿宋_GB2312" w:cs="Arial"/>
          <w:color w:val="000000"/>
          <w:kern w:val="0"/>
          <w:sz w:val="30"/>
          <w:szCs w:val="30"/>
        </w:rPr>
      </w:pPr>
      <w:r>
        <w:rPr>
          <w:rFonts w:hint="eastAsia" w:ascii="仿宋_GB2312" w:hAnsi="Arial" w:eastAsia="仿宋_GB2312" w:cs="Arial"/>
          <w:color w:val="000000"/>
          <w:kern w:val="0"/>
          <w:sz w:val="30"/>
          <w:szCs w:val="30"/>
        </w:rPr>
        <w:t>（三）个人因失信不良行为被记录，其任职单位有过错的，分别认定和记录。</w:t>
      </w:r>
    </w:p>
    <w:p>
      <w:pPr>
        <w:keepNext w:val="0"/>
        <w:keepLines w:val="0"/>
        <w:pageBreakBefore w:val="0"/>
        <w:widowControl/>
        <w:kinsoku/>
        <w:wordWrap/>
        <w:overflowPunct/>
        <w:topLinePunct w:val="0"/>
        <w:autoSpaceDE/>
        <w:autoSpaceDN/>
        <w:bidi w:val="0"/>
        <w:adjustRightInd/>
        <w:snapToGrid/>
        <w:spacing w:line="560" w:lineRule="exact"/>
        <w:ind w:right="0" w:rightChars="0" w:firstLine="629" w:firstLineChars="209"/>
        <w:jc w:val="left"/>
        <w:textAlignment w:val="auto"/>
        <w:outlineLvl w:val="9"/>
        <w:rPr>
          <w:rFonts w:hint="eastAsia" w:ascii="仿宋_GB2312" w:hAnsi="Arial" w:eastAsia="仿宋_GB2312" w:cs="Arial"/>
          <w:color w:val="000000"/>
          <w:kern w:val="0"/>
          <w:sz w:val="30"/>
          <w:szCs w:val="30"/>
        </w:rPr>
      </w:pPr>
      <w:r>
        <w:rPr>
          <w:rFonts w:hint="eastAsia" w:ascii="仿宋_GB2312" w:hAnsi="宋体" w:eastAsia="仿宋_GB2312" w:cs="Arial"/>
          <w:b/>
          <w:bCs/>
          <w:smallCaps/>
          <w:color w:val="000000"/>
          <w:kern w:val="0"/>
          <w:sz w:val="30"/>
          <w:szCs w:val="30"/>
        </w:rPr>
        <w:t>第七条</w:t>
      </w:r>
      <w:r>
        <w:rPr>
          <w:rFonts w:hint="eastAsia" w:ascii="仿宋_GB2312" w:hAnsi="Arial" w:eastAsia="仿宋_GB2312" w:cs="Arial"/>
          <w:color w:val="000000"/>
          <w:kern w:val="0"/>
          <w:sz w:val="30"/>
          <w:szCs w:val="30"/>
        </w:rPr>
        <w:t xml:space="preserve">  当事人对失信不良行为认定有异议的，可在收到失信不良行为认定文书之日起10日内向</w:t>
      </w:r>
      <w:r>
        <w:rPr>
          <w:rFonts w:hint="eastAsia" w:ascii="仿宋_GB2312" w:hAnsi="ˎ̥" w:eastAsia="仿宋_GB2312" w:cs="宋体"/>
          <w:color w:val="000000"/>
          <w:kern w:val="0"/>
          <w:sz w:val="30"/>
          <w:szCs w:val="30"/>
        </w:rPr>
        <w:t>市</w:t>
      </w:r>
      <w:r>
        <w:rPr>
          <w:rFonts w:hint="eastAsia" w:ascii="仿宋_GB2312" w:hAnsi="Arial" w:eastAsia="仿宋_GB2312" w:cs="Arial"/>
          <w:color w:val="000000"/>
          <w:kern w:val="0"/>
          <w:sz w:val="30"/>
          <w:szCs w:val="30"/>
        </w:rPr>
        <w:t>工程建设项目</w:t>
      </w:r>
      <w:r>
        <w:rPr>
          <w:rFonts w:hint="eastAsia" w:ascii="仿宋_GB2312" w:hAnsi="ˎ̥" w:eastAsia="仿宋_GB2312" w:cs="宋体"/>
          <w:color w:val="000000"/>
          <w:kern w:val="0"/>
          <w:sz w:val="30"/>
          <w:szCs w:val="30"/>
        </w:rPr>
        <w:t>招标投标工作联席会议办公室</w:t>
      </w:r>
      <w:r>
        <w:rPr>
          <w:rFonts w:hint="eastAsia" w:ascii="仿宋_GB2312" w:hAnsi="Arial" w:eastAsia="仿宋_GB2312" w:cs="Arial"/>
          <w:color w:val="000000"/>
          <w:kern w:val="0"/>
          <w:sz w:val="30"/>
          <w:szCs w:val="30"/>
        </w:rPr>
        <w:t>提出书面申诉，</w:t>
      </w:r>
      <w:r>
        <w:rPr>
          <w:rFonts w:hint="eastAsia" w:ascii="仿宋_GB2312" w:hAnsi="ˎ̥" w:eastAsia="仿宋_GB2312" w:cs="宋体"/>
          <w:color w:val="000000"/>
          <w:kern w:val="0"/>
          <w:sz w:val="30"/>
          <w:szCs w:val="30"/>
        </w:rPr>
        <w:t>市</w:t>
      </w:r>
      <w:r>
        <w:rPr>
          <w:rFonts w:hint="eastAsia" w:ascii="仿宋_GB2312" w:hAnsi="Arial" w:eastAsia="仿宋_GB2312" w:cs="Arial"/>
          <w:color w:val="000000"/>
          <w:kern w:val="0"/>
          <w:sz w:val="30"/>
          <w:szCs w:val="30"/>
        </w:rPr>
        <w:t>工程建设项目</w:t>
      </w:r>
      <w:r>
        <w:rPr>
          <w:rFonts w:hint="eastAsia" w:ascii="仿宋_GB2312" w:hAnsi="ˎ̥" w:eastAsia="仿宋_GB2312" w:cs="宋体"/>
          <w:color w:val="000000"/>
          <w:kern w:val="0"/>
          <w:sz w:val="30"/>
          <w:szCs w:val="30"/>
        </w:rPr>
        <w:t>招标投标工作联席会议办公室</w:t>
      </w:r>
      <w:r>
        <w:rPr>
          <w:rFonts w:hint="eastAsia" w:ascii="仿宋_GB2312" w:hAnsi="Arial" w:eastAsia="仿宋_GB2312" w:cs="Arial"/>
          <w:color w:val="000000"/>
          <w:kern w:val="0"/>
          <w:sz w:val="30"/>
          <w:szCs w:val="30"/>
        </w:rPr>
        <w:t>应当在收到当事人书面申辩之日起15个工作日内转请市法制部门或有关行政监督部门予以核实并答复当事人。失信不良行为认定或记录确有错误的，经</w:t>
      </w:r>
      <w:r>
        <w:rPr>
          <w:rFonts w:hint="eastAsia" w:ascii="仿宋_GB2312" w:hAnsi="ˎ̥" w:eastAsia="仿宋_GB2312" w:cs="宋体"/>
          <w:color w:val="000000"/>
          <w:kern w:val="0"/>
          <w:sz w:val="30"/>
          <w:szCs w:val="30"/>
        </w:rPr>
        <w:t>市</w:t>
      </w:r>
      <w:r>
        <w:rPr>
          <w:rFonts w:hint="eastAsia" w:ascii="仿宋_GB2312" w:hAnsi="Arial" w:eastAsia="仿宋_GB2312" w:cs="Arial"/>
          <w:color w:val="000000"/>
          <w:kern w:val="0"/>
          <w:sz w:val="30"/>
          <w:szCs w:val="30"/>
        </w:rPr>
        <w:t>工程建设项目</w:t>
      </w:r>
      <w:r>
        <w:rPr>
          <w:rFonts w:hint="eastAsia" w:ascii="仿宋_GB2312" w:hAnsi="ˎ̥" w:eastAsia="仿宋_GB2312" w:cs="宋体"/>
          <w:color w:val="000000"/>
          <w:kern w:val="0"/>
          <w:sz w:val="30"/>
          <w:szCs w:val="30"/>
        </w:rPr>
        <w:t>招标投标工作联席会议</w:t>
      </w:r>
      <w:r>
        <w:rPr>
          <w:rFonts w:hint="eastAsia" w:ascii="仿宋_GB2312" w:hAnsi="Arial" w:eastAsia="仿宋_GB2312" w:cs="Arial"/>
          <w:color w:val="000000"/>
          <w:kern w:val="0"/>
          <w:sz w:val="30"/>
          <w:szCs w:val="30"/>
        </w:rPr>
        <w:t>研究决定予以撤销或纠正。</w:t>
      </w:r>
    </w:p>
    <w:p>
      <w:pPr>
        <w:keepNext w:val="0"/>
        <w:keepLines w:val="0"/>
        <w:pageBreakBefore w:val="0"/>
        <w:widowControl/>
        <w:kinsoku/>
        <w:wordWrap/>
        <w:overflowPunct/>
        <w:topLinePunct w:val="0"/>
        <w:autoSpaceDE/>
        <w:autoSpaceDN/>
        <w:bidi w:val="0"/>
        <w:adjustRightInd/>
        <w:snapToGrid/>
        <w:spacing w:line="560" w:lineRule="exact"/>
        <w:ind w:right="0" w:rightChars="0"/>
        <w:jc w:val="left"/>
        <w:textAlignment w:val="auto"/>
        <w:outlineLvl w:val="9"/>
        <w:rPr>
          <w:rFonts w:hint="eastAsia" w:ascii="仿宋_GB2312" w:hAnsi="Arial" w:eastAsia="仿宋_GB2312" w:cs="Arial"/>
          <w:color w:val="000000"/>
          <w:kern w:val="0"/>
          <w:sz w:val="30"/>
          <w:szCs w:val="30"/>
        </w:rPr>
      </w:pPr>
      <w:r>
        <w:rPr>
          <w:rFonts w:hint="eastAsia" w:ascii="仿宋_GB2312" w:hAnsi="Arial" w:eastAsia="仿宋_GB2312" w:cs="Arial"/>
          <w:color w:val="000000"/>
          <w:kern w:val="0"/>
          <w:sz w:val="30"/>
          <w:szCs w:val="30"/>
        </w:rPr>
        <w:t>　　申辩处理期间，不影响不良行为的记录公示与处理。</w:t>
      </w:r>
    </w:p>
    <w:p>
      <w:pPr>
        <w:keepNext w:val="0"/>
        <w:keepLines w:val="0"/>
        <w:pageBreakBefore w:val="0"/>
        <w:kinsoku/>
        <w:wordWrap/>
        <w:overflowPunct/>
        <w:topLinePunct w:val="0"/>
        <w:autoSpaceDE/>
        <w:autoSpaceDN/>
        <w:bidi w:val="0"/>
        <w:adjustRightInd/>
        <w:snapToGrid/>
        <w:spacing w:line="560" w:lineRule="exact"/>
        <w:ind w:right="0" w:rightChars="0" w:firstLine="602" w:firstLineChars="200"/>
        <w:textAlignment w:val="auto"/>
        <w:outlineLvl w:val="9"/>
        <w:rPr>
          <w:rFonts w:hint="eastAsia" w:ascii="仿宋_GB2312" w:eastAsia="仿宋_GB2312"/>
          <w:sz w:val="30"/>
          <w:szCs w:val="30"/>
        </w:rPr>
      </w:pPr>
      <w:r>
        <w:rPr>
          <w:rFonts w:hint="eastAsia" w:ascii="仿宋_GB2312" w:eastAsia="仿宋_GB2312"/>
          <w:b/>
          <w:sz w:val="30"/>
          <w:szCs w:val="30"/>
        </w:rPr>
        <w:t>第八条</w:t>
      </w:r>
      <w:r>
        <w:rPr>
          <w:rFonts w:hint="eastAsia" w:ascii="仿宋_GB2312" w:eastAsia="仿宋_GB2312"/>
          <w:sz w:val="30"/>
          <w:szCs w:val="30"/>
        </w:rPr>
        <w:t xml:space="preserve">  招投标失信不良行为记录、公示及信用管理工作实行统一管理、分工负责的原则，并按以下分工和程序开展： </w:t>
      </w:r>
      <w:r>
        <w:rPr>
          <w:rFonts w:hint="eastAsia" w:ascii="仿宋_GB2312" w:eastAsia="仿宋_GB2312"/>
          <w:sz w:val="30"/>
          <w:szCs w:val="30"/>
        </w:rPr>
        <w:br w:type="textWrapping"/>
      </w:r>
      <w:r>
        <w:rPr>
          <w:rFonts w:hint="eastAsia" w:ascii="仿宋_GB2312" w:eastAsia="仿宋_GB2312"/>
          <w:sz w:val="30"/>
          <w:szCs w:val="30"/>
        </w:rPr>
        <w:t xml:space="preserve">   （一）</w:t>
      </w:r>
      <w:r>
        <w:rPr>
          <w:rFonts w:hint="eastAsia" w:ascii="仿宋_GB2312" w:hAnsi="ˎ̥" w:eastAsia="仿宋_GB2312" w:cs="宋体"/>
          <w:color w:val="000000"/>
          <w:kern w:val="0"/>
          <w:sz w:val="30"/>
          <w:szCs w:val="30"/>
        </w:rPr>
        <w:t>市</w:t>
      </w:r>
      <w:r>
        <w:rPr>
          <w:rFonts w:hint="eastAsia" w:ascii="仿宋_GB2312" w:hAnsi="Arial" w:eastAsia="仿宋_GB2312" w:cs="Arial"/>
          <w:color w:val="000000"/>
          <w:kern w:val="0"/>
          <w:sz w:val="30"/>
          <w:szCs w:val="30"/>
        </w:rPr>
        <w:t>工程建设项目</w:t>
      </w:r>
      <w:r>
        <w:rPr>
          <w:rFonts w:hint="eastAsia" w:ascii="仿宋_GB2312" w:hAnsi="ˎ̥" w:eastAsia="仿宋_GB2312" w:cs="宋体"/>
          <w:color w:val="000000"/>
          <w:kern w:val="0"/>
          <w:sz w:val="30"/>
          <w:szCs w:val="30"/>
        </w:rPr>
        <w:t>招标投标工作联席会议办公室</w:t>
      </w:r>
      <w:r>
        <w:rPr>
          <w:rFonts w:hint="eastAsia" w:ascii="仿宋_GB2312" w:eastAsia="仿宋_GB2312"/>
          <w:sz w:val="30"/>
          <w:szCs w:val="30"/>
        </w:rPr>
        <w:t>统筹协调全市招投标信用管理工作，组织建立和管理全市招投标失信不良行为记录公告平台，组织审定和发布政府投资工程的预选承包商名录。</w:t>
      </w:r>
    </w:p>
    <w:p>
      <w:pPr>
        <w:keepNext w:val="0"/>
        <w:keepLines w:val="0"/>
        <w:pageBreakBefore w:val="0"/>
        <w:kinsoku/>
        <w:wordWrap/>
        <w:overflowPunct/>
        <w:topLinePunct w:val="0"/>
        <w:autoSpaceDE/>
        <w:autoSpaceDN/>
        <w:bidi w:val="0"/>
        <w:adjustRightInd/>
        <w:snapToGrid/>
        <w:spacing w:line="560" w:lineRule="exact"/>
        <w:ind w:right="0" w:rightChars="0" w:firstLine="600" w:firstLineChars="200"/>
        <w:textAlignment w:val="auto"/>
        <w:outlineLvl w:val="9"/>
        <w:rPr>
          <w:rFonts w:hint="eastAsia" w:ascii="仿宋_GB2312" w:hAnsi="Arial" w:eastAsia="仿宋_GB2312" w:cs="Arial"/>
          <w:color w:val="000000"/>
          <w:kern w:val="0"/>
          <w:sz w:val="30"/>
          <w:szCs w:val="30"/>
        </w:rPr>
      </w:pPr>
      <w:r>
        <w:rPr>
          <w:rFonts w:hint="eastAsia" w:ascii="仿宋_GB2312" w:eastAsia="仿宋_GB2312"/>
          <w:sz w:val="30"/>
          <w:szCs w:val="30"/>
        </w:rPr>
        <w:t>市发展改革部门负责对项目招投标活动中核准、招标公告及招投标联合检查环节的失信不良行为进行记录和处理。市监察部门</w:t>
      </w:r>
      <w:r>
        <w:rPr>
          <w:rFonts w:hint="eastAsia" w:ascii="仿宋_GB2312" w:hAnsi="Arial" w:eastAsia="仿宋_GB2312" w:cs="Arial"/>
          <w:kern w:val="0"/>
          <w:sz w:val="30"/>
          <w:szCs w:val="30"/>
        </w:rPr>
        <w:t>负责</w:t>
      </w:r>
      <w:r>
        <w:rPr>
          <w:rFonts w:hint="eastAsia" w:ascii="仿宋_GB2312" w:eastAsia="仿宋_GB2312"/>
          <w:sz w:val="30"/>
          <w:szCs w:val="30"/>
        </w:rPr>
        <w:t>对各行业监督部门的执法信用状况进行行政监察。市工信、建设、交通、公路、水务等部门按照职责负责对本行业招投标失信不良行为的记录和处理。</w:t>
      </w:r>
    </w:p>
    <w:p>
      <w:pPr>
        <w:keepNext w:val="0"/>
        <w:keepLines w:val="0"/>
        <w:pageBreakBefore w:val="0"/>
        <w:kinsoku/>
        <w:wordWrap/>
        <w:overflowPunct/>
        <w:topLinePunct w:val="0"/>
        <w:autoSpaceDE/>
        <w:autoSpaceDN/>
        <w:bidi w:val="0"/>
        <w:adjustRightInd/>
        <w:snapToGrid/>
        <w:spacing w:line="560" w:lineRule="exact"/>
        <w:ind w:right="0" w:rightChars="0" w:firstLine="600" w:firstLineChars="200"/>
        <w:textAlignment w:val="auto"/>
        <w:outlineLvl w:val="9"/>
        <w:rPr>
          <w:rFonts w:hint="eastAsia" w:ascii="仿宋_GB2312" w:hAnsi="Arial" w:eastAsia="仿宋_GB2312" w:cs="Arial"/>
          <w:color w:val="000000"/>
          <w:kern w:val="0"/>
          <w:sz w:val="30"/>
          <w:szCs w:val="30"/>
        </w:rPr>
      </w:pPr>
      <w:r>
        <w:rPr>
          <w:rFonts w:hint="eastAsia" w:ascii="仿宋_GB2312" w:hAnsi="宋体" w:eastAsia="仿宋_GB2312" w:cs="宋体"/>
          <w:kern w:val="0"/>
          <w:sz w:val="30"/>
          <w:szCs w:val="30"/>
        </w:rPr>
        <w:t>各监督部门在作出行政处罚决定、处理决定、处分决定或者做出不良行为记录文书之日起五个工作日内，</w:t>
      </w:r>
      <w:r>
        <w:rPr>
          <w:rFonts w:hint="eastAsia" w:ascii="仿宋_GB2312" w:hAnsi="Arial" w:eastAsia="仿宋_GB2312" w:cs="Arial"/>
          <w:color w:val="000000"/>
          <w:kern w:val="0"/>
          <w:sz w:val="30"/>
          <w:szCs w:val="30"/>
        </w:rPr>
        <w:t>抄报</w:t>
      </w:r>
      <w:r>
        <w:rPr>
          <w:rFonts w:hint="eastAsia" w:ascii="仿宋_GB2312" w:hAnsi="ˎ̥" w:eastAsia="仿宋_GB2312" w:cs="宋体"/>
          <w:color w:val="000000"/>
          <w:kern w:val="0"/>
          <w:sz w:val="30"/>
          <w:szCs w:val="30"/>
        </w:rPr>
        <w:t>市</w:t>
      </w:r>
      <w:r>
        <w:rPr>
          <w:rFonts w:hint="eastAsia" w:ascii="仿宋_GB2312" w:hAnsi="Arial" w:eastAsia="仿宋_GB2312" w:cs="Arial"/>
          <w:color w:val="000000"/>
          <w:kern w:val="0"/>
          <w:sz w:val="30"/>
          <w:szCs w:val="30"/>
        </w:rPr>
        <w:t>工程建设项目</w:t>
      </w:r>
      <w:r>
        <w:rPr>
          <w:rFonts w:hint="eastAsia" w:ascii="仿宋_GB2312" w:hAnsi="ˎ̥" w:eastAsia="仿宋_GB2312" w:cs="宋体"/>
          <w:color w:val="000000"/>
          <w:kern w:val="0"/>
          <w:sz w:val="30"/>
          <w:szCs w:val="30"/>
        </w:rPr>
        <w:t>招标投标工作联席会议办公室</w:t>
      </w:r>
      <w:r>
        <w:rPr>
          <w:rFonts w:hint="eastAsia" w:ascii="仿宋_GB2312" w:hAnsi="Arial" w:eastAsia="仿宋_GB2312" w:cs="Arial"/>
          <w:color w:val="000000"/>
          <w:kern w:val="0"/>
          <w:sz w:val="30"/>
          <w:szCs w:val="30"/>
        </w:rPr>
        <w:t>，统一在全市</w:t>
      </w:r>
      <w:r>
        <w:rPr>
          <w:rFonts w:hint="eastAsia" w:ascii="仿宋_GB2312" w:eastAsia="仿宋_GB2312"/>
          <w:sz w:val="30"/>
          <w:szCs w:val="30"/>
        </w:rPr>
        <w:t>招投标失信不良行为记录公告平台上进行</w:t>
      </w:r>
      <w:r>
        <w:rPr>
          <w:rFonts w:hint="eastAsia" w:ascii="仿宋_GB2312" w:hAnsi="Arial" w:eastAsia="仿宋_GB2312" w:cs="Arial"/>
          <w:color w:val="000000"/>
          <w:kern w:val="0"/>
          <w:sz w:val="30"/>
          <w:szCs w:val="30"/>
        </w:rPr>
        <w:t>公示。</w:t>
      </w:r>
    </w:p>
    <w:p>
      <w:pPr>
        <w:keepNext w:val="0"/>
        <w:keepLines w:val="0"/>
        <w:pageBreakBefore w:val="0"/>
        <w:kinsoku/>
        <w:wordWrap/>
        <w:overflowPunct/>
        <w:topLinePunct w:val="0"/>
        <w:autoSpaceDE/>
        <w:autoSpaceDN/>
        <w:bidi w:val="0"/>
        <w:adjustRightInd/>
        <w:snapToGrid/>
        <w:spacing w:line="560" w:lineRule="exact"/>
        <w:ind w:right="0" w:rightChars="0" w:firstLine="600" w:firstLineChars="200"/>
        <w:textAlignment w:val="auto"/>
        <w:outlineLvl w:val="9"/>
        <w:rPr>
          <w:rFonts w:hint="eastAsia" w:ascii="仿宋_GB2312" w:hAnsi="Arial" w:eastAsia="仿宋_GB2312" w:cs="Arial"/>
          <w:b/>
          <w:color w:val="000000"/>
          <w:kern w:val="0"/>
          <w:sz w:val="30"/>
          <w:szCs w:val="30"/>
        </w:rPr>
      </w:pPr>
      <w:r>
        <w:rPr>
          <w:rFonts w:hint="eastAsia" w:ascii="仿宋_GB2312" w:hAnsi="Arial" w:eastAsia="仿宋_GB2312" w:cs="Arial"/>
          <w:color w:val="000000"/>
          <w:kern w:val="0"/>
          <w:sz w:val="30"/>
          <w:szCs w:val="30"/>
        </w:rPr>
        <w:t>各级公共资源交易管理中心（站）对场内交易活动提供鉴证服务，发现异常情况及时向相关招标监督部门和纪检监察部门报告。</w:t>
      </w:r>
    </w:p>
    <w:p>
      <w:pPr>
        <w:keepNext w:val="0"/>
        <w:keepLines w:val="0"/>
        <w:pageBreakBefore w:val="0"/>
        <w:kinsoku/>
        <w:wordWrap/>
        <w:overflowPunct/>
        <w:topLinePunct w:val="0"/>
        <w:autoSpaceDE/>
        <w:autoSpaceDN/>
        <w:bidi w:val="0"/>
        <w:adjustRightInd/>
        <w:snapToGrid/>
        <w:spacing w:line="560" w:lineRule="exact"/>
        <w:ind w:right="0" w:rightChars="0" w:firstLine="597" w:firstLineChars="199"/>
        <w:textAlignment w:val="auto"/>
        <w:outlineLvl w:val="9"/>
        <w:rPr>
          <w:rFonts w:hint="eastAsia" w:ascii="仿宋_GB2312" w:eastAsia="仿宋_GB2312"/>
          <w:sz w:val="30"/>
          <w:szCs w:val="30"/>
        </w:rPr>
      </w:pPr>
      <w:r>
        <w:rPr>
          <w:rFonts w:hint="eastAsia" w:ascii="仿宋_GB2312" w:hAnsi="Arial" w:eastAsia="仿宋_GB2312" w:cs="Arial"/>
          <w:color w:val="000000"/>
          <w:kern w:val="0"/>
          <w:sz w:val="30"/>
          <w:szCs w:val="30"/>
        </w:rPr>
        <w:t>（二）各县区（开发区）对所监管的工程建设项目招投标活动，由县区（开发区）有关行政监督部门对其失信不良行为进行记录和处理，并报同级发展改革部门</w:t>
      </w:r>
      <w:r>
        <w:rPr>
          <w:rFonts w:hint="eastAsia" w:ascii="仿宋_GB2312" w:hAnsi="宋体" w:eastAsia="仿宋_GB2312" w:cs="宋体"/>
          <w:kern w:val="0"/>
          <w:sz w:val="30"/>
          <w:szCs w:val="30"/>
        </w:rPr>
        <w:t>进行登记汇总，登记汇总信息每周一次上报</w:t>
      </w:r>
      <w:r>
        <w:rPr>
          <w:rFonts w:hint="eastAsia" w:ascii="仿宋_GB2312" w:hAnsi="ˎ̥" w:eastAsia="仿宋_GB2312" w:cs="宋体"/>
          <w:color w:val="000000"/>
          <w:kern w:val="0"/>
          <w:sz w:val="30"/>
          <w:szCs w:val="30"/>
        </w:rPr>
        <w:t>市</w:t>
      </w:r>
      <w:r>
        <w:rPr>
          <w:rFonts w:hint="eastAsia" w:ascii="仿宋_GB2312" w:hAnsi="Arial" w:eastAsia="仿宋_GB2312" w:cs="Arial"/>
          <w:color w:val="000000"/>
          <w:kern w:val="0"/>
          <w:sz w:val="30"/>
          <w:szCs w:val="30"/>
        </w:rPr>
        <w:t>工程建设项目</w:t>
      </w:r>
      <w:r>
        <w:rPr>
          <w:rFonts w:hint="eastAsia" w:ascii="仿宋_GB2312" w:hAnsi="ˎ̥" w:eastAsia="仿宋_GB2312" w:cs="宋体"/>
          <w:color w:val="000000"/>
          <w:kern w:val="0"/>
          <w:sz w:val="30"/>
          <w:szCs w:val="30"/>
        </w:rPr>
        <w:t>招标投标工作联席会议办公室</w:t>
      </w:r>
      <w:r>
        <w:rPr>
          <w:rFonts w:hint="eastAsia" w:ascii="仿宋_GB2312" w:hAnsi="Arial" w:eastAsia="仿宋_GB2312" w:cs="Arial"/>
          <w:color w:val="000000"/>
          <w:kern w:val="0"/>
          <w:sz w:val="30"/>
          <w:szCs w:val="30"/>
        </w:rPr>
        <w:t>统一公示。</w:t>
      </w:r>
    </w:p>
    <w:p>
      <w:pPr>
        <w:keepNext w:val="0"/>
        <w:keepLines w:val="0"/>
        <w:pageBreakBefore w:val="0"/>
        <w:widowControl/>
        <w:kinsoku/>
        <w:wordWrap/>
        <w:overflowPunct/>
        <w:topLinePunct w:val="0"/>
        <w:autoSpaceDE/>
        <w:autoSpaceDN/>
        <w:bidi w:val="0"/>
        <w:adjustRightInd/>
        <w:snapToGrid/>
        <w:spacing w:line="560" w:lineRule="exact"/>
        <w:ind w:right="0" w:rightChars="0" w:firstLine="480"/>
        <w:jc w:val="left"/>
        <w:textAlignment w:val="auto"/>
        <w:outlineLvl w:val="9"/>
        <w:rPr>
          <w:rFonts w:hint="eastAsia" w:ascii="仿宋_GB2312" w:hAnsi="Arial" w:eastAsia="仿宋_GB2312" w:cs="Arial"/>
          <w:color w:val="000000"/>
          <w:kern w:val="0"/>
          <w:sz w:val="30"/>
          <w:szCs w:val="30"/>
        </w:rPr>
      </w:pPr>
      <w:r>
        <w:rPr>
          <w:rFonts w:hint="eastAsia" w:ascii="仿宋_GB2312" w:hAnsi="Arial" w:eastAsia="仿宋_GB2312" w:cs="Arial"/>
          <w:color w:val="000000"/>
          <w:kern w:val="0"/>
          <w:sz w:val="30"/>
          <w:szCs w:val="30"/>
        </w:rPr>
        <w:t>（三）失信不良行为的确认应按照调查、认定、告知、处理、公示记录的程序实施。各级行政监督部门须对所认定、记录的失信不良行为的合法性、真实性负责。</w:t>
      </w:r>
    </w:p>
    <w:p>
      <w:pPr>
        <w:keepNext w:val="0"/>
        <w:keepLines w:val="0"/>
        <w:pageBreakBefore w:val="0"/>
        <w:kinsoku/>
        <w:wordWrap/>
        <w:overflowPunct/>
        <w:topLinePunct w:val="0"/>
        <w:autoSpaceDE/>
        <w:autoSpaceDN/>
        <w:bidi w:val="0"/>
        <w:adjustRightInd/>
        <w:snapToGrid/>
        <w:spacing w:line="560" w:lineRule="exact"/>
        <w:ind w:right="0" w:rightChars="0" w:firstLine="599" w:firstLineChars="199"/>
        <w:textAlignment w:val="auto"/>
        <w:outlineLvl w:val="9"/>
        <w:rPr>
          <w:rFonts w:hint="eastAsia" w:ascii="仿宋_GB2312" w:eastAsia="仿宋_GB2312"/>
          <w:sz w:val="30"/>
          <w:szCs w:val="30"/>
        </w:rPr>
      </w:pPr>
      <w:r>
        <w:rPr>
          <w:rFonts w:hint="eastAsia" w:ascii="仿宋_GB2312" w:eastAsia="仿宋_GB2312"/>
          <w:b/>
          <w:sz w:val="30"/>
          <w:szCs w:val="30"/>
        </w:rPr>
        <w:t>第九条</w:t>
      </w:r>
      <w:r>
        <w:rPr>
          <w:rFonts w:hint="eastAsia" w:ascii="仿宋_GB2312" w:eastAsia="仿宋_GB2312"/>
          <w:sz w:val="30"/>
          <w:szCs w:val="30"/>
        </w:rPr>
        <w:t xml:space="preserve">  </w:t>
      </w:r>
      <w:r>
        <w:rPr>
          <w:rFonts w:hint="eastAsia" w:ascii="仿宋_GB2312" w:hAnsi="ˎ̥" w:eastAsia="仿宋_GB2312" w:cs="宋体"/>
          <w:kern w:val="0"/>
          <w:sz w:val="30"/>
          <w:szCs w:val="30"/>
        </w:rPr>
        <w:t>建立以政府</w:t>
      </w:r>
      <w:r>
        <w:rPr>
          <w:rFonts w:hint="eastAsia" w:ascii="仿宋_GB2312" w:hAnsi="Verdana,ˎ̥" w:eastAsia="仿宋_GB2312" w:cs="宋体"/>
          <w:kern w:val="0"/>
          <w:sz w:val="30"/>
          <w:szCs w:val="30"/>
        </w:rPr>
        <w:t>对市场主体守法诚信评价为前提和基础，工程建设项目招投标市场和项目施工现场联动的，由市场主导的社会中介信用机构开展的综合信用评价体系，</w:t>
      </w:r>
      <w:r>
        <w:rPr>
          <w:rFonts w:hint="eastAsia" w:ascii="仿宋_GB2312" w:eastAsia="仿宋_GB2312"/>
          <w:sz w:val="30"/>
          <w:szCs w:val="30"/>
        </w:rPr>
        <w:t>对参与我市招投标活动的有关企业组织开展信用评级。信用评级结果报</w:t>
      </w:r>
      <w:r>
        <w:rPr>
          <w:rFonts w:hint="eastAsia" w:ascii="仿宋_GB2312" w:hAnsi="宋体" w:eastAsia="仿宋_GB2312" w:cs="宋体"/>
          <w:kern w:val="0"/>
          <w:sz w:val="30"/>
          <w:szCs w:val="30"/>
        </w:rPr>
        <w:t>市社会信用体系建设工作领导小组办公室认可。</w:t>
      </w:r>
    </w:p>
    <w:p>
      <w:pPr>
        <w:keepNext w:val="0"/>
        <w:keepLines w:val="0"/>
        <w:pageBreakBefore w:val="0"/>
        <w:kinsoku/>
        <w:wordWrap/>
        <w:overflowPunct/>
        <w:topLinePunct w:val="0"/>
        <w:autoSpaceDE/>
        <w:autoSpaceDN/>
        <w:bidi w:val="0"/>
        <w:adjustRightInd/>
        <w:snapToGrid/>
        <w:spacing w:line="560" w:lineRule="exact"/>
        <w:ind w:right="0" w:rightChars="0" w:firstLine="597" w:firstLineChars="199"/>
        <w:textAlignment w:val="auto"/>
        <w:outlineLvl w:val="9"/>
        <w:rPr>
          <w:rFonts w:hint="eastAsia" w:ascii="仿宋_GB2312" w:hAnsi="宋体" w:eastAsia="仿宋_GB2312" w:cs="宋体"/>
          <w:kern w:val="0"/>
          <w:sz w:val="30"/>
          <w:szCs w:val="30"/>
        </w:rPr>
      </w:pPr>
      <w:r>
        <w:rPr>
          <w:rFonts w:hint="eastAsia" w:ascii="仿宋_GB2312" w:eastAsia="仿宋_GB2312"/>
          <w:sz w:val="30"/>
          <w:szCs w:val="30"/>
        </w:rPr>
        <w:t>进入本市的</w:t>
      </w:r>
      <w:r>
        <w:rPr>
          <w:rFonts w:hint="eastAsia" w:ascii="仿宋_GB2312" w:hAnsi="宋体" w:eastAsia="仿宋_GB2312"/>
          <w:sz w:val="30"/>
          <w:szCs w:val="30"/>
        </w:rPr>
        <w:t>代建单位</w:t>
      </w:r>
      <w:r>
        <w:rPr>
          <w:rFonts w:hint="eastAsia" w:ascii="仿宋_GB2312" w:hAnsi="宋体" w:eastAsia="仿宋_GB2312" w:cs="宋体"/>
          <w:kern w:val="0"/>
          <w:sz w:val="30"/>
          <w:szCs w:val="30"/>
        </w:rPr>
        <w:t>和施工、勘察、设计、监理、招标代理、造价咨询、材料供应等企业在参与</w:t>
      </w:r>
      <w:r>
        <w:rPr>
          <w:rFonts w:hint="eastAsia" w:ascii="仿宋_GB2312" w:eastAsia="仿宋_GB2312"/>
          <w:sz w:val="30"/>
          <w:szCs w:val="30"/>
        </w:rPr>
        <w:t>本市（含县区、开发区）政府投资项目招投标活动中，</w:t>
      </w:r>
      <w:r>
        <w:rPr>
          <w:rFonts w:hint="eastAsia" w:ascii="仿宋_GB2312" w:hAnsi="宋体" w:eastAsia="仿宋_GB2312" w:cs="宋体"/>
          <w:kern w:val="0"/>
          <w:sz w:val="30"/>
          <w:szCs w:val="30"/>
        </w:rPr>
        <w:t>应当提供由信用评级机构出具的由市社会信用体系建设工作领导小组办公室认可的信用评级报告。</w:t>
      </w:r>
    </w:p>
    <w:p>
      <w:pPr>
        <w:keepNext w:val="0"/>
        <w:keepLines w:val="0"/>
        <w:pageBreakBefore w:val="0"/>
        <w:kinsoku/>
        <w:wordWrap/>
        <w:overflowPunct/>
        <w:topLinePunct w:val="0"/>
        <w:autoSpaceDE/>
        <w:autoSpaceDN/>
        <w:bidi w:val="0"/>
        <w:adjustRightInd/>
        <w:snapToGrid/>
        <w:spacing w:line="560" w:lineRule="exact"/>
        <w:ind w:right="0" w:rightChars="0" w:firstLine="597" w:firstLineChars="199"/>
        <w:textAlignment w:val="auto"/>
        <w:outlineLvl w:val="9"/>
        <w:rPr>
          <w:rFonts w:hint="eastAsia" w:ascii="仿宋_GB2312" w:eastAsia="仿宋_GB2312"/>
          <w:sz w:val="30"/>
          <w:szCs w:val="30"/>
        </w:rPr>
      </w:pPr>
      <w:r>
        <w:rPr>
          <w:rFonts w:hint="eastAsia" w:ascii="仿宋_GB2312" w:eastAsia="仿宋_GB2312"/>
          <w:sz w:val="30"/>
          <w:szCs w:val="30"/>
        </w:rPr>
        <w:t>对信用评为A级（信用记录优良）的企业，优先列入政府投资工程的预选承包商名录，在企业资质升级、年审、办理招投标的核准、备案、告知等各项手续办理中简化程序，在各类评优活动中优先推荐；对信用评为B级（信用记录较好）的企业，有条件地列入政府投资工程的预选承包商名录；对信用评为C级（信用记录差），不得参加政府投资工程投标和招标代理，取消其参加各类奖项评选资格，列为监管的重点对象，在企业资质升级、年审、办理招投标的核准、备案、告知等各项手续办理中从严控制。对信用评为D级（严重失信）的企业，永久取消其在南昌市（含县区、开发区）参加招投标活动的资格。</w:t>
      </w:r>
    </w:p>
    <w:p>
      <w:pPr>
        <w:keepNext w:val="0"/>
        <w:keepLines w:val="0"/>
        <w:pageBreakBefore w:val="0"/>
        <w:kinsoku/>
        <w:wordWrap/>
        <w:overflowPunct/>
        <w:topLinePunct w:val="0"/>
        <w:autoSpaceDE/>
        <w:autoSpaceDN/>
        <w:bidi w:val="0"/>
        <w:adjustRightInd/>
        <w:snapToGrid/>
        <w:spacing w:line="560" w:lineRule="exact"/>
        <w:ind w:right="0" w:rightChars="0" w:firstLine="600" w:firstLineChars="200"/>
        <w:textAlignment w:val="auto"/>
        <w:outlineLvl w:val="9"/>
        <w:rPr>
          <w:rFonts w:hint="eastAsia" w:ascii="仿宋_GB2312" w:eastAsia="仿宋_GB2312"/>
          <w:sz w:val="30"/>
          <w:szCs w:val="30"/>
        </w:rPr>
      </w:pPr>
      <w:r>
        <w:rPr>
          <w:rFonts w:hint="eastAsia" w:ascii="仿宋_GB2312" w:eastAsia="仿宋_GB2312"/>
          <w:sz w:val="30"/>
          <w:szCs w:val="30"/>
        </w:rPr>
        <w:t>最终评级结果应当通过《诚信南昌网》和《江西省南昌公共交易中心网》等媒体进行公示公告，所有企业评级信息均同步进入南昌市社会信用信息数据库，并与省社会信用信息数据库联通共享。</w:t>
      </w:r>
    </w:p>
    <w:p>
      <w:pPr>
        <w:keepNext w:val="0"/>
        <w:keepLines w:val="0"/>
        <w:pageBreakBefore w:val="0"/>
        <w:kinsoku/>
        <w:wordWrap/>
        <w:overflowPunct/>
        <w:topLinePunct w:val="0"/>
        <w:autoSpaceDE/>
        <w:autoSpaceDN/>
        <w:bidi w:val="0"/>
        <w:adjustRightInd/>
        <w:snapToGrid/>
        <w:spacing w:line="560" w:lineRule="exact"/>
        <w:ind w:right="0" w:rightChars="0" w:firstLine="599" w:firstLineChars="199"/>
        <w:textAlignment w:val="auto"/>
        <w:outlineLvl w:val="9"/>
        <w:rPr>
          <w:rFonts w:hint="eastAsia" w:ascii="仿宋_GB2312" w:hAnsi="Verdana,ˎ̥" w:eastAsia="仿宋_GB2312" w:cs="宋体"/>
          <w:kern w:val="0"/>
          <w:sz w:val="30"/>
          <w:szCs w:val="30"/>
        </w:rPr>
      </w:pPr>
      <w:r>
        <w:rPr>
          <w:rFonts w:hint="eastAsia" w:ascii="仿宋_GB2312" w:eastAsia="仿宋_GB2312"/>
          <w:b/>
          <w:sz w:val="30"/>
          <w:szCs w:val="30"/>
        </w:rPr>
        <w:t>第十条</w:t>
      </w:r>
      <w:r>
        <w:rPr>
          <w:rFonts w:hint="eastAsia" w:ascii="仿宋_GB2312" w:eastAsia="仿宋_GB2312"/>
          <w:sz w:val="30"/>
          <w:szCs w:val="30"/>
        </w:rPr>
        <w:t xml:space="preserve">   信用评级工作应当遵照“政府主导、多方评价、中介评定、社会监督”的原则开展</w:t>
      </w:r>
      <w:r>
        <w:rPr>
          <w:rFonts w:hint="eastAsia" w:ascii="仿宋_GB2312" w:hAnsi="宋体" w:eastAsia="仿宋_GB2312" w:cs="宋体"/>
          <w:kern w:val="0"/>
          <w:sz w:val="30"/>
          <w:szCs w:val="30"/>
        </w:rPr>
        <w:t>。市社会信用体系建设工作领导小组办公室</w:t>
      </w:r>
      <w:r>
        <w:rPr>
          <w:rFonts w:hint="eastAsia" w:ascii="仿宋_GB2312" w:hAnsi="Verdana,ˎ̥" w:eastAsia="仿宋_GB2312" w:cs="宋体"/>
          <w:kern w:val="0"/>
          <w:sz w:val="30"/>
          <w:szCs w:val="30"/>
        </w:rPr>
        <w:t>指导建立有关协会，根据综合实力和相关条件确定进入我市的社会中介信用机构，并对社会中介信用机构参与信用体系建设的行为依法实施监管，建立社会信用中介机构准入和清出的管理制度。</w:t>
      </w:r>
    </w:p>
    <w:p>
      <w:pPr>
        <w:keepNext w:val="0"/>
        <w:keepLines w:val="0"/>
        <w:pageBreakBefore w:val="0"/>
        <w:kinsoku/>
        <w:wordWrap/>
        <w:overflowPunct/>
        <w:topLinePunct w:val="0"/>
        <w:autoSpaceDE/>
        <w:autoSpaceDN/>
        <w:bidi w:val="0"/>
        <w:adjustRightInd/>
        <w:snapToGrid/>
        <w:spacing w:line="560" w:lineRule="exact"/>
        <w:ind w:right="0" w:rightChars="0" w:firstLine="597" w:firstLineChars="199"/>
        <w:textAlignment w:val="auto"/>
        <w:outlineLvl w:val="9"/>
        <w:rPr>
          <w:rFonts w:hint="eastAsia" w:ascii="仿宋_GB2312" w:eastAsia="仿宋_GB2312"/>
          <w:sz w:val="30"/>
          <w:szCs w:val="30"/>
        </w:rPr>
      </w:pPr>
      <w:r>
        <w:rPr>
          <w:rFonts w:hint="eastAsia" w:ascii="仿宋_GB2312" w:hAnsi="Verdana,ˎ̥" w:eastAsia="仿宋_GB2312" w:cs="宋体"/>
          <w:kern w:val="0"/>
          <w:sz w:val="30"/>
          <w:szCs w:val="30"/>
        </w:rPr>
        <w:t>社会中介信用机构的信用评级报告以守法、守信、守德、综合实力为基础进行。</w:t>
      </w:r>
    </w:p>
    <w:p>
      <w:pPr>
        <w:keepNext w:val="0"/>
        <w:keepLines w:val="0"/>
        <w:pageBreakBefore w:val="0"/>
        <w:kinsoku/>
        <w:wordWrap/>
        <w:overflowPunct/>
        <w:topLinePunct w:val="0"/>
        <w:autoSpaceDE/>
        <w:autoSpaceDN/>
        <w:bidi w:val="0"/>
        <w:adjustRightInd/>
        <w:snapToGrid/>
        <w:spacing w:line="560" w:lineRule="exact"/>
        <w:ind w:right="0" w:rightChars="0" w:firstLine="597" w:firstLineChars="199"/>
        <w:textAlignment w:val="auto"/>
        <w:outlineLvl w:val="9"/>
        <w:rPr>
          <w:rFonts w:hint="eastAsia" w:ascii="仿宋_GB2312" w:hAnsi="宋体" w:eastAsia="仿宋_GB2312" w:cs="宋体"/>
          <w:kern w:val="0"/>
          <w:sz w:val="30"/>
          <w:szCs w:val="30"/>
        </w:rPr>
      </w:pPr>
      <w:r>
        <w:rPr>
          <w:rFonts w:hint="eastAsia" w:ascii="仿宋_GB2312" w:eastAsia="仿宋_GB2312"/>
          <w:sz w:val="30"/>
          <w:szCs w:val="30"/>
        </w:rPr>
        <w:t>信用评级机构应当组成评级专家委员会，制定评级程序和评级标准，独立、公平、公正进行评级，并接受社会监督。</w:t>
      </w:r>
    </w:p>
    <w:p>
      <w:pPr>
        <w:keepNext w:val="0"/>
        <w:keepLines w:val="0"/>
        <w:pageBreakBefore w:val="0"/>
        <w:kinsoku/>
        <w:wordWrap/>
        <w:overflowPunct/>
        <w:topLinePunct w:val="0"/>
        <w:autoSpaceDE/>
        <w:autoSpaceDN/>
        <w:bidi w:val="0"/>
        <w:adjustRightInd/>
        <w:snapToGrid/>
        <w:spacing w:line="560" w:lineRule="exact"/>
        <w:ind w:right="0" w:rightChars="0" w:firstLine="597" w:firstLineChars="199"/>
        <w:textAlignment w:val="auto"/>
        <w:outlineLvl w:val="9"/>
        <w:rPr>
          <w:rFonts w:hint="eastAsia" w:ascii="仿宋_GB2312" w:eastAsia="仿宋_GB2312"/>
          <w:sz w:val="30"/>
          <w:szCs w:val="30"/>
        </w:rPr>
      </w:pPr>
      <w:r>
        <w:rPr>
          <w:rFonts w:hint="eastAsia" w:ascii="仿宋_GB2312" w:eastAsia="仿宋_GB2312"/>
          <w:sz w:val="30"/>
          <w:szCs w:val="30"/>
        </w:rPr>
        <w:t>对于部分无信用记录、一时难以作出信用评级认定的企业，评级机构可以按B级暂评，并对其标后信用状况进行动态跟踪管理，在一年内作出正式的信用评级报告。</w:t>
      </w:r>
    </w:p>
    <w:p>
      <w:pPr>
        <w:keepNext w:val="0"/>
        <w:keepLines w:val="0"/>
        <w:pageBreakBefore w:val="0"/>
        <w:kinsoku/>
        <w:wordWrap/>
        <w:overflowPunct/>
        <w:topLinePunct w:val="0"/>
        <w:autoSpaceDE/>
        <w:autoSpaceDN/>
        <w:bidi w:val="0"/>
        <w:adjustRightInd/>
        <w:snapToGrid/>
        <w:spacing w:line="560" w:lineRule="exact"/>
        <w:ind w:right="0" w:rightChars="0" w:firstLine="597" w:firstLineChars="199"/>
        <w:textAlignment w:val="auto"/>
        <w:outlineLvl w:val="9"/>
        <w:rPr>
          <w:rFonts w:hint="eastAsia" w:ascii="仿宋_GB2312" w:eastAsia="仿宋_GB2312"/>
          <w:sz w:val="30"/>
          <w:szCs w:val="30"/>
        </w:rPr>
      </w:pPr>
      <w:r>
        <w:rPr>
          <w:rFonts w:hint="eastAsia" w:ascii="仿宋_GB2312" w:eastAsia="仿宋_GB2312"/>
          <w:sz w:val="30"/>
          <w:szCs w:val="30"/>
        </w:rPr>
        <w:t>信用评级报告的有效期限为两年。评级机构应当对被评级企业的信用状况进行动态跟踪管理，期间被评企业出现失信不良记录时，评级机构可以调整其信用等级，并报备市社会信用体系建设工作领导小组办公室和</w:t>
      </w:r>
      <w:r>
        <w:rPr>
          <w:rFonts w:hint="eastAsia" w:ascii="仿宋_GB2312" w:hAnsi="ˎ̥" w:eastAsia="仿宋_GB2312" w:cs="宋体"/>
          <w:color w:val="000000"/>
          <w:kern w:val="0"/>
          <w:sz w:val="30"/>
          <w:szCs w:val="30"/>
        </w:rPr>
        <w:t>市</w:t>
      </w:r>
      <w:r>
        <w:rPr>
          <w:rFonts w:hint="eastAsia" w:ascii="仿宋_GB2312" w:hAnsi="Arial" w:eastAsia="仿宋_GB2312" w:cs="Arial"/>
          <w:color w:val="000000"/>
          <w:kern w:val="0"/>
          <w:sz w:val="30"/>
          <w:szCs w:val="30"/>
        </w:rPr>
        <w:t>工程建设项目</w:t>
      </w:r>
      <w:r>
        <w:rPr>
          <w:rFonts w:hint="eastAsia" w:ascii="仿宋_GB2312" w:hAnsi="ˎ̥" w:eastAsia="仿宋_GB2312" w:cs="宋体"/>
          <w:color w:val="000000"/>
          <w:kern w:val="0"/>
          <w:sz w:val="30"/>
          <w:szCs w:val="30"/>
        </w:rPr>
        <w:t>招标投标工作联席会议办公室</w:t>
      </w:r>
      <w:r>
        <w:rPr>
          <w:rFonts w:hint="eastAsia" w:ascii="仿宋_GB2312" w:eastAsia="仿宋_GB2312"/>
          <w:sz w:val="30"/>
          <w:szCs w:val="30"/>
        </w:rPr>
        <w:t>予以公示。</w:t>
      </w:r>
    </w:p>
    <w:p>
      <w:pPr>
        <w:keepNext w:val="0"/>
        <w:keepLines w:val="0"/>
        <w:pageBreakBefore w:val="0"/>
        <w:kinsoku/>
        <w:wordWrap/>
        <w:overflowPunct/>
        <w:topLinePunct w:val="0"/>
        <w:autoSpaceDE/>
        <w:autoSpaceDN/>
        <w:bidi w:val="0"/>
        <w:adjustRightInd/>
        <w:snapToGrid/>
        <w:spacing w:line="560" w:lineRule="exact"/>
        <w:ind w:right="0" w:rightChars="0" w:firstLine="747" w:firstLineChars="249"/>
        <w:textAlignment w:val="auto"/>
        <w:outlineLvl w:val="9"/>
        <w:rPr>
          <w:rFonts w:hint="eastAsia" w:ascii="仿宋_GB2312" w:eastAsia="仿宋_GB2312"/>
          <w:sz w:val="30"/>
          <w:szCs w:val="30"/>
        </w:rPr>
      </w:pPr>
      <w:r>
        <w:rPr>
          <w:rFonts w:hint="eastAsia" w:ascii="仿宋_GB2312" w:eastAsia="仿宋_GB2312"/>
          <w:sz w:val="30"/>
          <w:szCs w:val="30"/>
        </w:rPr>
        <w:t>条件成熟时，信用评级排名情况纳入项目评标分值。</w:t>
      </w:r>
    </w:p>
    <w:p>
      <w:pPr>
        <w:keepNext w:val="0"/>
        <w:keepLines w:val="0"/>
        <w:pageBreakBefore w:val="0"/>
        <w:kinsoku/>
        <w:wordWrap/>
        <w:overflowPunct/>
        <w:topLinePunct w:val="0"/>
        <w:autoSpaceDE/>
        <w:autoSpaceDN/>
        <w:bidi w:val="0"/>
        <w:adjustRightInd/>
        <w:snapToGrid/>
        <w:spacing w:line="560" w:lineRule="exact"/>
        <w:ind w:left="149" w:leftChars="71" w:right="0" w:rightChars="0" w:firstLine="602" w:firstLineChars="200"/>
        <w:textAlignment w:val="auto"/>
        <w:outlineLvl w:val="9"/>
        <w:rPr>
          <w:rFonts w:hint="eastAsia" w:ascii="仿宋_GB2312" w:eastAsia="仿宋_GB2312"/>
          <w:sz w:val="30"/>
          <w:szCs w:val="30"/>
        </w:rPr>
      </w:pPr>
      <w:r>
        <w:rPr>
          <w:rFonts w:hint="eastAsia" w:ascii="仿宋_GB2312" w:eastAsia="仿宋_GB2312"/>
          <w:b/>
          <w:sz w:val="30"/>
          <w:szCs w:val="30"/>
        </w:rPr>
        <w:t>第十一条</w:t>
      </w:r>
      <w:r>
        <w:rPr>
          <w:rFonts w:hint="eastAsia" w:ascii="仿宋_GB2312" w:eastAsia="仿宋_GB2312"/>
          <w:sz w:val="30"/>
          <w:szCs w:val="30"/>
        </w:rPr>
        <w:t xml:space="preserve">  各级行政监察部门负责对同级招投标行政监督部门、公共资源交易管理和服务部门及人员履行职责情况进行行政监察，调查处理行政主管部门失信行为，督促有关部门做好招投标程序、信用管理工作。 </w:t>
      </w:r>
    </w:p>
    <w:p>
      <w:pPr>
        <w:keepNext w:val="0"/>
        <w:keepLines w:val="0"/>
        <w:pageBreakBefore w:val="0"/>
        <w:kinsoku/>
        <w:wordWrap/>
        <w:overflowPunct/>
        <w:topLinePunct w:val="0"/>
        <w:autoSpaceDE/>
        <w:autoSpaceDN/>
        <w:bidi w:val="0"/>
        <w:adjustRightInd/>
        <w:snapToGrid/>
        <w:spacing w:line="560" w:lineRule="exact"/>
        <w:ind w:left="149" w:leftChars="71" w:right="0" w:rightChars="0" w:firstLine="450" w:firstLineChars="150"/>
        <w:textAlignment w:val="auto"/>
        <w:outlineLvl w:val="9"/>
        <w:rPr>
          <w:rFonts w:hint="eastAsia" w:ascii="仿宋_GB2312" w:eastAsia="仿宋_GB2312"/>
          <w:sz w:val="30"/>
          <w:szCs w:val="30"/>
        </w:rPr>
      </w:pPr>
      <w:r>
        <w:rPr>
          <w:rFonts w:hint="eastAsia" w:ascii="仿宋_GB2312" w:eastAsia="仿宋_GB2312"/>
          <w:sz w:val="30"/>
          <w:szCs w:val="30"/>
        </w:rPr>
        <w:t xml:space="preserve"> </w:t>
      </w:r>
      <w:r>
        <w:rPr>
          <w:rFonts w:hint="eastAsia" w:ascii="仿宋_GB2312" w:eastAsia="仿宋_GB2312"/>
          <w:b/>
          <w:sz w:val="30"/>
          <w:szCs w:val="30"/>
        </w:rPr>
        <w:t>第十二条</w:t>
      </w:r>
      <w:r>
        <w:rPr>
          <w:rFonts w:hint="eastAsia" w:ascii="仿宋_GB2312" w:eastAsia="仿宋_GB2312"/>
          <w:sz w:val="30"/>
          <w:szCs w:val="30"/>
        </w:rPr>
        <w:t xml:space="preserve">   工程建设项目招投标失信不良行为信息在《诚信南昌网》和《江西省南昌公共交易中心网》发布。失信不良行为记录与公示内容包括不良行为主体或人员名称、不良行为事实内容、不良行为处理结果、信息发布部门等。</w:t>
      </w:r>
    </w:p>
    <w:p>
      <w:pPr>
        <w:keepNext w:val="0"/>
        <w:keepLines w:val="0"/>
        <w:pageBreakBefore w:val="0"/>
        <w:kinsoku/>
        <w:wordWrap/>
        <w:overflowPunct/>
        <w:topLinePunct w:val="0"/>
        <w:autoSpaceDE/>
        <w:autoSpaceDN/>
        <w:bidi w:val="0"/>
        <w:adjustRightInd/>
        <w:snapToGrid/>
        <w:spacing w:line="560" w:lineRule="exact"/>
        <w:ind w:left="149" w:leftChars="71" w:right="0" w:rightChars="0" w:firstLine="600" w:firstLineChars="200"/>
        <w:textAlignment w:val="auto"/>
        <w:outlineLvl w:val="9"/>
        <w:rPr>
          <w:rFonts w:hint="eastAsia" w:ascii="仿宋_GB2312" w:eastAsia="仿宋_GB2312"/>
          <w:sz w:val="30"/>
          <w:szCs w:val="30"/>
        </w:rPr>
      </w:pPr>
      <w:r>
        <w:rPr>
          <w:rFonts w:hint="eastAsia" w:ascii="仿宋_GB2312" w:eastAsia="仿宋_GB2312"/>
          <w:sz w:val="30"/>
          <w:szCs w:val="30"/>
        </w:rPr>
        <w:t>公示期原则上为3至6个月。依法限制招投标当事人资质（资格）等方面的行政处理决定，所认定的限制期限长于6个月的，公告期限从其决定。</w:t>
      </w:r>
    </w:p>
    <w:p>
      <w:pPr>
        <w:keepNext w:val="0"/>
        <w:keepLines w:val="0"/>
        <w:pageBreakBefore w:val="0"/>
        <w:kinsoku/>
        <w:wordWrap/>
        <w:overflowPunct/>
        <w:topLinePunct w:val="0"/>
        <w:autoSpaceDE/>
        <w:autoSpaceDN/>
        <w:bidi w:val="0"/>
        <w:adjustRightInd/>
        <w:snapToGrid/>
        <w:spacing w:line="560" w:lineRule="exact"/>
        <w:ind w:left="149" w:leftChars="71" w:right="0" w:rightChars="0" w:firstLine="602" w:firstLineChars="200"/>
        <w:textAlignment w:val="auto"/>
        <w:outlineLvl w:val="9"/>
        <w:rPr>
          <w:rFonts w:hint="eastAsia" w:ascii="仿宋_GB2312" w:eastAsia="仿宋_GB2312"/>
          <w:sz w:val="30"/>
          <w:szCs w:val="30"/>
        </w:rPr>
      </w:pPr>
      <w:r>
        <w:rPr>
          <w:rFonts w:hint="eastAsia" w:ascii="仿宋_GB2312" w:eastAsia="仿宋_GB2312"/>
          <w:b/>
          <w:sz w:val="30"/>
          <w:szCs w:val="30"/>
        </w:rPr>
        <w:t xml:space="preserve">第十三条 </w:t>
      </w:r>
      <w:r>
        <w:rPr>
          <w:rFonts w:hint="eastAsia" w:ascii="仿宋_GB2312" w:eastAsia="仿宋_GB2312"/>
          <w:sz w:val="30"/>
          <w:szCs w:val="30"/>
        </w:rPr>
        <w:t xml:space="preserve">  招投标不良行为信息公示期结束后信息存档备查并全部纳入全市社会信用信息数据库。</w:t>
      </w:r>
    </w:p>
    <w:p>
      <w:pPr>
        <w:keepNext w:val="0"/>
        <w:keepLines w:val="0"/>
        <w:pageBreakBefore w:val="0"/>
        <w:kinsoku/>
        <w:wordWrap/>
        <w:overflowPunct/>
        <w:topLinePunct w:val="0"/>
        <w:autoSpaceDE/>
        <w:autoSpaceDN/>
        <w:bidi w:val="0"/>
        <w:adjustRightInd/>
        <w:snapToGrid/>
        <w:spacing w:line="560" w:lineRule="exact"/>
        <w:ind w:left="149" w:leftChars="71" w:right="0" w:rightChars="0" w:firstLine="602" w:firstLineChars="200"/>
        <w:textAlignment w:val="auto"/>
        <w:outlineLvl w:val="9"/>
        <w:rPr>
          <w:rFonts w:hint="eastAsia" w:ascii="仿宋_GB2312" w:eastAsia="仿宋_GB2312"/>
          <w:sz w:val="30"/>
          <w:szCs w:val="30"/>
        </w:rPr>
      </w:pPr>
      <w:r>
        <w:rPr>
          <w:rFonts w:hint="eastAsia" w:ascii="仿宋_GB2312" w:eastAsia="仿宋_GB2312"/>
          <w:b/>
          <w:sz w:val="30"/>
          <w:szCs w:val="30"/>
        </w:rPr>
        <w:t>第十四条</w:t>
      </w:r>
      <w:r>
        <w:rPr>
          <w:rFonts w:hint="eastAsia" w:ascii="仿宋_GB2312" w:eastAsia="仿宋_GB2312"/>
          <w:sz w:val="30"/>
          <w:szCs w:val="30"/>
        </w:rPr>
        <w:t xml:space="preserve">   对出现失信不良行为的代建单位、投标人、招标代理机构、评标专家，公示期内，本市（含县区、开发区）项目业主不得接受其参与投标或比选，不得委托其从事项目管理及招标代理活动，不得接受其参与评标活动。 </w:t>
      </w:r>
    </w:p>
    <w:p>
      <w:pPr>
        <w:keepNext w:val="0"/>
        <w:keepLines w:val="0"/>
        <w:pageBreakBefore w:val="0"/>
        <w:kinsoku/>
        <w:wordWrap/>
        <w:overflowPunct/>
        <w:topLinePunct w:val="0"/>
        <w:autoSpaceDE/>
        <w:autoSpaceDN/>
        <w:bidi w:val="0"/>
        <w:adjustRightInd/>
        <w:snapToGrid/>
        <w:spacing w:line="560" w:lineRule="exact"/>
        <w:ind w:left="149" w:leftChars="71" w:right="0" w:rightChars="0" w:firstLine="600" w:firstLineChars="200"/>
        <w:textAlignment w:val="auto"/>
        <w:outlineLvl w:val="9"/>
        <w:rPr>
          <w:rFonts w:hint="eastAsia" w:ascii="仿宋_GB2312" w:eastAsia="仿宋_GB2312"/>
          <w:sz w:val="30"/>
          <w:szCs w:val="30"/>
        </w:rPr>
      </w:pPr>
      <w:r>
        <w:rPr>
          <w:rFonts w:hint="eastAsia" w:ascii="仿宋_GB2312" w:eastAsia="仿宋_GB2312"/>
          <w:sz w:val="30"/>
          <w:szCs w:val="30"/>
        </w:rPr>
        <w:t>对于不能提供信用评级报告，或者信用等级不符合第九条规定要求的</w:t>
      </w:r>
      <w:r>
        <w:rPr>
          <w:rFonts w:hint="eastAsia" w:ascii="仿宋_GB2312" w:hAnsi="宋体" w:eastAsia="仿宋_GB2312"/>
          <w:sz w:val="30"/>
          <w:szCs w:val="30"/>
        </w:rPr>
        <w:t>代建单位</w:t>
      </w:r>
      <w:r>
        <w:rPr>
          <w:rFonts w:hint="eastAsia" w:ascii="仿宋_GB2312" w:hAnsi="宋体" w:eastAsia="仿宋_GB2312" w:cs="宋体"/>
          <w:kern w:val="0"/>
          <w:sz w:val="30"/>
          <w:szCs w:val="30"/>
        </w:rPr>
        <w:t>和施工、勘察、设计、监理、招标代理、造价咨询、材料供应等企业，不得</w:t>
      </w:r>
      <w:r>
        <w:rPr>
          <w:rFonts w:hint="eastAsia" w:ascii="仿宋_GB2312" w:eastAsia="仿宋_GB2312"/>
          <w:sz w:val="30"/>
          <w:szCs w:val="30"/>
        </w:rPr>
        <w:t>列入政府投资工程的预选承包商名录，市级（含县区、开发区）政府投资项目业主不得接受其参与投标或比选，不得委托其从事项目管理及招标代理活动，不得接受其参与评标活动。</w:t>
      </w:r>
    </w:p>
    <w:p>
      <w:pPr>
        <w:keepNext w:val="0"/>
        <w:keepLines w:val="0"/>
        <w:pageBreakBefore w:val="0"/>
        <w:kinsoku/>
        <w:wordWrap/>
        <w:overflowPunct/>
        <w:topLinePunct w:val="0"/>
        <w:autoSpaceDE/>
        <w:autoSpaceDN/>
        <w:bidi w:val="0"/>
        <w:adjustRightInd/>
        <w:snapToGrid/>
        <w:spacing w:line="560" w:lineRule="exact"/>
        <w:ind w:right="0" w:rightChars="0" w:firstLine="602" w:firstLineChars="200"/>
        <w:textAlignment w:val="auto"/>
        <w:outlineLvl w:val="9"/>
        <w:rPr>
          <w:rFonts w:hint="eastAsia" w:ascii="仿宋_GB2312" w:hAnsi="ˎ̥" w:eastAsia="仿宋_GB2312" w:cs="宋体"/>
          <w:color w:val="000000"/>
          <w:kern w:val="0"/>
          <w:sz w:val="30"/>
          <w:szCs w:val="30"/>
        </w:rPr>
      </w:pPr>
      <w:r>
        <w:rPr>
          <w:rFonts w:hint="eastAsia" w:ascii="仿宋_GB2312" w:eastAsia="仿宋_GB2312"/>
          <w:b/>
          <w:sz w:val="30"/>
          <w:szCs w:val="30"/>
        </w:rPr>
        <w:t>第十五条</w:t>
      </w:r>
      <w:r>
        <w:rPr>
          <w:rFonts w:hint="eastAsia" w:ascii="仿宋_GB2312" w:eastAsia="仿宋_GB2312"/>
          <w:sz w:val="30"/>
          <w:szCs w:val="30"/>
        </w:rPr>
        <w:t xml:space="preserve">   本暂行办法由</w:t>
      </w:r>
      <w:r>
        <w:rPr>
          <w:rFonts w:hint="eastAsia" w:ascii="仿宋_GB2312" w:hAnsi="ˎ̥" w:eastAsia="仿宋_GB2312" w:cs="宋体"/>
          <w:color w:val="000000"/>
          <w:kern w:val="0"/>
          <w:sz w:val="30"/>
          <w:szCs w:val="30"/>
        </w:rPr>
        <w:t>市</w:t>
      </w:r>
      <w:r>
        <w:rPr>
          <w:rFonts w:hint="eastAsia" w:ascii="仿宋_GB2312" w:hAnsi="Arial" w:eastAsia="仿宋_GB2312" w:cs="Arial"/>
          <w:color w:val="000000"/>
          <w:kern w:val="0"/>
          <w:sz w:val="30"/>
          <w:szCs w:val="30"/>
        </w:rPr>
        <w:t>工程建设项目</w:t>
      </w:r>
      <w:r>
        <w:rPr>
          <w:rFonts w:hint="eastAsia" w:ascii="仿宋_GB2312" w:hAnsi="ˎ̥" w:eastAsia="仿宋_GB2312" w:cs="宋体"/>
          <w:color w:val="000000"/>
          <w:kern w:val="0"/>
          <w:sz w:val="30"/>
          <w:szCs w:val="30"/>
        </w:rPr>
        <w:t>招标投标工作联席会议办公室负责</w:t>
      </w:r>
      <w:r>
        <w:rPr>
          <w:rFonts w:hint="eastAsia" w:ascii="仿宋_GB2312" w:eastAsia="仿宋_GB2312"/>
          <w:sz w:val="30"/>
          <w:szCs w:val="30"/>
        </w:rPr>
        <w:t>解释，从2010年9月1</w:t>
      </w:r>
      <w:r>
        <w:rPr>
          <w:rFonts w:hint="eastAsia" w:ascii="仿宋_GB2312" w:hAnsi="ˎ̥" w:eastAsia="仿宋_GB2312" w:cs="宋体"/>
          <w:color w:val="000000"/>
          <w:kern w:val="0"/>
          <w:sz w:val="30"/>
          <w:szCs w:val="30"/>
        </w:rPr>
        <w:t>日起施行。各县区（开发区）参照执行。</w:t>
      </w:r>
    </w:p>
    <w:p>
      <w:pPr>
        <w:keepNext w:val="0"/>
        <w:keepLines w:val="0"/>
        <w:pageBreakBefore w:val="0"/>
        <w:kinsoku/>
        <w:wordWrap/>
        <w:overflowPunct/>
        <w:topLinePunct w:val="0"/>
        <w:autoSpaceDE/>
        <w:autoSpaceDN/>
        <w:bidi w:val="0"/>
        <w:adjustRightInd/>
        <w:snapToGrid/>
        <w:spacing w:line="560" w:lineRule="exact"/>
        <w:ind w:left="149" w:leftChars="71" w:right="0" w:rightChars="0" w:firstLine="600" w:firstLineChars="200"/>
        <w:textAlignment w:val="auto"/>
        <w:outlineLvl w:val="9"/>
        <w:rPr>
          <w:rFonts w:hint="eastAsia" w:ascii="仿宋_GB2312" w:eastAsia="仿宋_GB2312"/>
          <w:sz w:val="30"/>
          <w:szCs w:val="30"/>
        </w:rPr>
      </w:pPr>
    </w:p>
    <w:p>
      <w:pPr>
        <w:keepNext w:val="0"/>
        <w:keepLines w:val="0"/>
        <w:pageBreakBefore w:val="0"/>
        <w:kinsoku/>
        <w:wordWrap/>
        <w:overflowPunct/>
        <w:topLinePunct w:val="0"/>
        <w:autoSpaceDE/>
        <w:autoSpaceDN/>
        <w:bidi w:val="0"/>
        <w:adjustRightInd/>
        <w:snapToGrid/>
        <w:spacing w:line="560" w:lineRule="exact"/>
        <w:ind w:right="0" w:rightChars="0"/>
        <w:textAlignment w:val="auto"/>
        <w:outlineLvl w:val="9"/>
      </w:pPr>
    </w:p>
    <w:p>
      <w:pPr>
        <w:keepNext w:val="0"/>
        <w:keepLines w:val="0"/>
        <w:pageBreakBefore w:val="0"/>
        <w:kinsoku/>
        <w:wordWrap/>
        <w:overflowPunct/>
        <w:topLinePunct w:val="0"/>
        <w:autoSpaceDE/>
        <w:autoSpaceDN/>
        <w:bidi w:val="0"/>
        <w:adjustRightInd/>
        <w:snapToGrid/>
        <w:spacing w:line="560" w:lineRule="exact"/>
        <w:ind w:right="0" w:rightChars="0" w:firstLine="600" w:firstLineChars="200"/>
        <w:textAlignment w:val="auto"/>
        <w:outlineLvl w:val="9"/>
        <w:rPr>
          <w:rFonts w:hint="eastAsia" w:ascii="仿宋_GB2312" w:hAnsi="宋体" w:eastAsia="仿宋_GB2312" w:cs="宋体"/>
          <w:color w:val="000000"/>
          <w:kern w:val="0"/>
          <w:sz w:val="30"/>
          <w:szCs w:val="30"/>
        </w:rPr>
      </w:pPr>
    </w:p>
    <w:p>
      <w:pPr>
        <w:keepNext w:val="0"/>
        <w:keepLines w:val="0"/>
        <w:pageBreakBefore w:val="0"/>
        <w:kinsoku/>
        <w:wordWrap/>
        <w:overflowPunct/>
        <w:topLinePunct w:val="0"/>
        <w:autoSpaceDE/>
        <w:autoSpaceDN/>
        <w:bidi w:val="0"/>
        <w:adjustRightInd/>
        <w:snapToGrid/>
        <w:spacing w:line="560" w:lineRule="exact"/>
        <w:ind w:right="0" w:rightChars="0" w:firstLine="600" w:firstLineChars="200"/>
        <w:textAlignment w:val="auto"/>
        <w:outlineLvl w:val="9"/>
        <w:rPr>
          <w:rFonts w:hint="eastAsia" w:ascii="仿宋_GB2312" w:hAnsi="宋体" w:eastAsia="仿宋_GB2312" w:cs="宋体"/>
          <w:color w:val="000000"/>
          <w:kern w:val="0"/>
          <w:sz w:val="30"/>
          <w:szCs w:val="30"/>
        </w:rPr>
      </w:pPr>
    </w:p>
    <w:p>
      <w:pPr>
        <w:keepNext w:val="0"/>
        <w:keepLines w:val="0"/>
        <w:pageBreakBefore w:val="0"/>
        <w:kinsoku/>
        <w:wordWrap/>
        <w:overflowPunct/>
        <w:topLinePunct w:val="0"/>
        <w:autoSpaceDE/>
        <w:autoSpaceDN/>
        <w:bidi w:val="0"/>
        <w:adjustRightInd/>
        <w:snapToGrid/>
        <w:spacing w:line="560" w:lineRule="exact"/>
        <w:ind w:right="0" w:rightChars="0" w:firstLine="600" w:firstLineChars="200"/>
        <w:textAlignment w:val="auto"/>
        <w:outlineLvl w:val="9"/>
        <w:rPr>
          <w:rFonts w:hint="eastAsia" w:ascii="仿宋_GB2312" w:hAnsi="宋体" w:eastAsia="仿宋_GB2312" w:cs="宋体"/>
          <w:color w:val="000000"/>
          <w:kern w:val="0"/>
          <w:sz w:val="30"/>
          <w:szCs w:val="30"/>
        </w:rPr>
      </w:pPr>
    </w:p>
    <w:p>
      <w:pPr>
        <w:keepNext w:val="0"/>
        <w:keepLines w:val="0"/>
        <w:pageBreakBefore w:val="0"/>
        <w:kinsoku/>
        <w:wordWrap/>
        <w:overflowPunct/>
        <w:topLinePunct w:val="0"/>
        <w:autoSpaceDE/>
        <w:autoSpaceDN/>
        <w:bidi w:val="0"/>
        <w:adjustRightInd/>
        <w:snapToGrid/>
        <w:spacing w:line="560" w:lineRule="exact"/>
        <w:ind w:right="0" w:rightChars="0" w:firstLine="600" w:firstLineChars="200"/>
        <w:textAlignment w:val="auto"/>
        <w:outlineLvl w:val="9"/>
        <w:rPr>
          <w:rFonts w:hint="eastAsia" w:ascii="仿宋_GB2312" w:hAnsi="宋体" w:eastAsia="仿宋_GB2312" w:cs="宋体"/>
          <w:color w:val="000000"/>
          <w:kern w:val="0"/>
          <w:sz w:val="30"/>
          <w:szCs w:val="30"/>
        </w:rPr>
      </w:pPr>
    </w:p>
    <w:p>
      <w:pPr>
        <w:keepNext w:val="0"/>
        <w:keepLines w:val="0"/>
        <w:pageBreakBefore w:val="0"/>
        <w:kinsoku/>
        <w:wordWrap/>
        <w:overflowPunct/>
        <w:topLinePunct w:val="0"/>
        <w:autoSpaceDE/>
        <w:autoSpaceDN/>
        <w:bidi w:val="0"/>
        <w:adjustRightInd/>
        <w:snapToGrid/>
        <w:spacing w:line="560" w:lineRule="exact"/>
        <w:ind w:right="0" w:rightChars="0" w:firstLine="600" w:firstLineChars="200"/>
        <w:textAlignment w:val="auto"/>
        <w:outlineLvl w:val="9"/>
        <w:rPr>
          <w:rFonts w:hint="eastAsia" w:ascii="仿宋_GB2312" w:hAnsi="宋体" w:eastAsia="仿宋_GB2312" w:cs="宋体"/>
          <w:color w:val="000000"/>
          <w:kern w:val="0"/>
          <w:sz w:val="30"/>
          <w:szCs w:val="30"/>
        </w:rPr>
      </w:pPr>
    </w:p>
    <w:p>
      <w:pPr>
        <w:keepNext w:val="0"/>
        <w:keepLines w:val="0"/>
        <w:pageBreakBefore w:val="0"/>
        <w:kinsoku/>
        <w:wordWrap/>
        <w:overflowPunct/>
        <w:topLinePunct w:val="0"/>
        <w:autoSpaceDE/>
        <w:autoSpaceDN/>
        <w:bidi w:val="0"/>
        <w:adjustRightInd/>
        <w:snapToGrid/>
        <w:spacing w:line="560" w:lineRule="exact"/>
        <w:ind w:right="0" w:rightChars="0" w:firstLine="600" w:firstLineChars="200"/>
        <w:textAlignment w:val="auto"/>
        <w:outlineLvl w:val="9"/>
        <w:rPr>
          <w:rFonts w:hint="eastAsia" w:ascii="仿宋_GB2312" w:hAnsi="宋体" w:eastAsia="仿宋_GB2312" w:cs="宋体"/>
          <w:color w:val="000000"/>
          <w:kern w:val="0"/>
          <w:sz w:val="30"/>
          <w:szCs w:val="30"/>
        </w:rPr>
      </w:pPr>
    </w:p>
    <w:p>
      <w:pPr>
        <w:keepNext w:val="0"/>
        <w:keepLines w:val="0"/>
        <w:pageBreakBefore w:val="0"/>
        <w:kinsoku/>
        <w:wordWrap/>
        <w:overflowPunct/>
        <w:topLinePunct w:val="0"/>
        <w:autoSpaceDE/>
        <w:autoSpaceDN/>
        <w:bidi w:val="0"/>
        <w:adjustRightInd/>
        <w:snapToGrid/>
        <w:spacing w:line="560" w:lineRule="exact"/>
        <w:ind w:right="0" w:rightChars="0" w:firstLine="600" w:firstLineChars="200"/>
        <w:textAlignment w:val="auto"/>
        <w:outlineLvl w:val="9"/>
        <w:rPr>
          <w:rFonts w:hint="eastAsia" w:ascii="仿宋_GB2312" w:hAnsi="宋体" w:eastAsia="仿宋_GB2312" w:cs="宋体"/>
          <w:color w:val="000000"/>
          <w:kern w:val="0"/>
          <w:sz w:val="30"/>
          <w:szCs w:val="30"/>
        </w:rPr>
      </w:pPr>
    </w:p>
    <w:p>
      <w:pPr>
        <w:keepNext w:val="0"/>
        <w:keepLines w:val="0"/>
        <w:pageBreakBefore w:val="0"/>
        <w:kinsoku/>
        <w:wordWrap/>
        <w:overflowPunct/>
        <w:topLinePunct w:val="0"/>
        <w:autoSpaceDE/>
        <w:autoSpaceDN/>
        <w:bidi w:val="0"/>
        <w:adjustRightInd/>
        <w:snapToGrid/>
        <w:spacing w:line="560" w:lineRule="exact"/>
        <w:ind w:right="0" w:rightChars="0" w:firstLine="600" w:firstLineChars="200"/>
        <w:textAlignment w:val="auto"/>
        <w:outlineLvl w:val="9"/>
        <w:rPr>
          <w:rFonts w:hint="eastAsia" w:ascii="仿宋_GB2312" w:hAnsi="宋体" w:eastAsia="仿宋_GB2312" w:cs="宋体"/>
          <w:color w:val="000000"/>
          <w:kern w:val="0"/>
          <w:sz w:val="30"/>
          <w:szCs w:val="30"/>
        </w:rPr>
      </w:pPr>
    </w:p>
    <w:p>
      <w:pPr>
        <w:keepNext w:val="0"/>
        <w:keepLines w:val="0"/>
        <w:pageBreakBefore w:val="0"/>
        <w:kinsoku/>
        <w:wordWrap/>
        <w:overflowPunct/>
        <w:topLinePunct w:val="0"/>
        <w:autoSpaceDE/>
        <w:autoSpaceDN/>
        <w:bidi w:val="0"/>
        <w:adjustRightInd/>
        <w:snapToGrid/>
        <w:spacing w:line="560" w:lineRule="exact"/>
        <w:ind w:right="0" w:rightChars="0" w:firstLine="600" w:firstLineChars="200"/>
        <w:textAlignment w:val="auto"/>
        <w:outlineLvl w:val="9"/>
        <w:rPr>
          <w:rFonts w:hint="eastAsia" w:ascii="仿宋_GB2312" w:hAnsi="宋体" w:eastAsia="仿宋_GB2312" w:cs="宋体"/>
          <w:color w:val="000000"/>
          <w:kern w:val="0"/>
          <w:sz w:val="30"/>
          <w:szCs w:val="30"/>
        </w:rPr>
      </w:pPr>
    </w:p>
    <w:p>
      <w:pPr>
        <w:keepNext w:val="0"/>
        <w:keepLines w:val="0"/>
        <w:pageBreakBefore w:val="0"/>
        <w:kinsoku/>
        <w:wordWrap/>
        <w:overflowPunct/>
        <w:topLinePunct w:val="0"/>
        <w:autoSpaceDE/>
        <w:autoSpaceDN/>
        <w:bidi w:val="0"/>
        <w:adjustRightInd/>
        <w:snapToGrid/>
        <w:spacing w:line="560" w:lineRule="exact"/>
        <w:ind w:right="0" w:rightChars="0" w:firstLine="600" w:firstLineChars="200"/>
        <w:textAlignment w:val="auto"/>
        <w:outlineLvl w:val="9"/>
        <w:rPr>
          <w:rFonts w:hint="eastAsia" w:ascii="仿宋_GB2312" w:hAnsi="宋体" w:eastAsia="仿宋_GB2312" w:cs="宋体"/>
          <w:color w:val="000000"/>
          <w:kern w:val="0"/>
          <w:sz w:val="30"/>
          <w:szCs w:val="30"/>
        </w:rPr>
      </w:pPr>
    </w:p>
    <w:p>
      <w:pPr>
        <w:keepNext w:val="0"/>
        <w:keepLines w:val="0"/>
        <w:pageBreakBefore w:val="0"/>
        <w:kinsoku/>
        <w:wordWrap/>
        <w:overflowPunct/>
        <w:topLinePunct w:val="0"/>
        <w:autoSpaceDE/>
        <w:autoSpaceDN/>
        <w:bidi w:val="0"/>
        <w:adjustRightInd/>
        <w:snapToGrid/>
        <w:spacing w:line="560" w:lineRule="exact"/>
        <w:ind w:right="0" w:rightChars="0" w:firstLine="600" w:firstLineChars="200"/>
        <w:textAlignment w:val="auto"/>
        <w:outlineLvl w:val="9"/>
        <w:rPr>
          <w:rFonts w:hint="eastAsia" w:ascii="仿宋_GB2312" w:hAnsi="宋体" w:eastAsia="仿宋_GB2312" w:cs="宋体"/>
          <w:color w:val="000000"/>
          <w:kern w:val="0"/>
          <w:sz w:val="30"/>
          <w:szCs w:val="30"/>
        </w:rPr>
      </w:pPr>
    </w:p>
    <w:p>
      <w:pPr>
        <w:keepNext w:val="0"/>
        <w:keepLines w:val="0"/>
        <w:pageBreakBefore w:val="0"/>
        <w:kinsoku/>
        <w:wordWrap/>
        <w:overflowPunct/>
        <w:topLinePunct w:val="0"/>
        <w:autoSpaceDE/>
        <w:autoSpaceDN/>
        <w:bidi w:val="0"/>
        <w:adjustRightInd/>
        <w:snapToGrid/>
        <w:spacing w:line="560" w:lineRule="exact"/>
        <w:ind w:right="0" w:rightChars="0" w:firstLine="600" w:firstLineChars="200"/>
        <w:textAlignment w:val="auto"/>
        <w:outlineLvl w:val="9"/>
        <w:rPr>
          <w:rFonts w:hint="eastAsia" w:ascii="仿宋_GB2312" w:hAnsi="宋体" w:eastAsia="仿宋_GB2312" w:cs="宋体"/>
          <w:color w:val="000000"/>
          <w:kern w:val="0"/>
          <w:sz w:val="30"/>
          <w:szCs w:val="30"/>
        </w:rPr>
      </w:pPr>
    </w:p>
    <w:p>
      <w:pPr>
        <w:keepNext w:val="0"/>
        <w:keepLines w:val="0"/>
        <w:pageBreakBefore w:val="0"/>
        <w:kinsoku/>
        <w:wordWrap/>
        <w:overflowPunct/>
        <w:topLinePunct w:val="0"/>
        <w:autoSpaceDE/>
        <w:autoSpaceDN/>
        <w:bidi w:val="0"/>
        <w:adjustRightInd/>
        <w:snapToGrid/>
        <w:spacing w:line="560" w:lineRule="exact"/>
        <w:ind w:right="0" w:rightChars="0" w:firstLine="600" w:firstLineChars="200"/>
        <w:textAlignment w:val="auto"/>
        <w:outlineLvl w:val="9"/>
        <w:rPr>
          <w:rFonts w:hint="eastAsia" w:ascii="仿宋_GB2312" w:hAnsi="宋体" w:eastAsia="仿宋_GB2312" w:cs="宋体"/>
          <w:color w:val="000000"/>
          <w:kern w:val="0"/>
          <w:sz w:val="30"/>
          <w:szCs w:val="30"/>
        </w:rPr>
      </w:pPr>
    </w:p>
    <w:p>
      <w:pPr>
        <w:keepNext w:val="0"/>
        <w:keepLines w:val="0"/>
        <w:pageBreakBefore w:val="0"/>
        <w:kinsoku/>
        <w:wordWrap/>
        <w:overflowPunct/>
        <w:topLinePunct w:val="0"/>
        <w:autoSpaceDE/>
        <w:autoSpaceDN/>
        <w:bidi w:val="0"/>
        <w:adjustRightInd/>
        <w:snapToGrid/>
        <w:spacing w:line="560" w:lineRule="exact"/>
        <w:ind w:right="0" w:rightChars="0" w:firstLine="600" w:firstLineChars="200"/>
        <w:textAlignment w:val="auto"/>
        <w:outlineLvl w:val="9"/>
        <w:rPr>
          <w:rFonts w:hint="eastAsia" w:ascii="仿宋_GB2312" w:hAnsi="宋体" w:eastAsia="仿宋_GB2312" w:cs="宋体"/>
          <w:color w:val="000000"/>
          <w:kern w:val="0"/>
          <w:sz w:val="30"/>
          <w:szCs w:val="30"/>
        </w:rPr>
      </w:pPr>
    </w:p>
    <w:p>
      <w:pPr>
        <w:keepNext w:val="0"/>
        <w:keepLines w:val="0"/>
        <w:pageBreakBefore w:val="0"/>
        <w:widowControl/>
        <w:kinsoku/>
        <w:wordWrap/>
        <w:overflowPunct/>
        <w:topLinePunct w:val="0"/>
        <w:autoSpaceDE/>
        <w:autoSpaceDN/>
        <w:bidi w:val="0"/>
        <w:adjustRightInd/>
        <w:snapToGrid/>
        <w:spacing w:line="560" w:lineRule="exact"/>
        <w:ind w:right="0" w:rightChars="0"/>
        <w:textAlignment w:val="auto"/>
        <w:outlineLvl w:val="9"/>
        <w:rPr>
          <w:rFonts w:hint="eastAsia" w:ascii="仿宋_GB2312" w:hAnsi="宋体" w:eastAsia="仿宋_GB2312" w:cs="宋体"/>
          <w:kern w:val="0"/>
          <w:sz w:val="30"/>
          <w:szCs w:val="30"/>
        </w:rPr>
      </w:pPr>
    </w:p>
    <w:p>
      <w:pPr>
        <w:keepNext w:val="0"/>
        <w:keepLines w:val="0"/>
        <w:pageBreakBefore w:val="0"/>
        <w:widowControl/>
        <w:kinsoku/>
        <w:wordWrap/>
        <w:overflowPunct/>
        <w:topLinePunct w:val="0"/>
        <w:autoSpaceDE/>
        <w:autoSpaceDN/>
        <w:bidi w:val="0"/>
        <w:adjustRightInd/>
        <w:snapToGrid/>
        <w:spacing w:line="560" w:lineRule="exact"/>
        <w:ind w:right="0" w:rightChars="0"/>
        <w:textAlignment w:val="auto"/>
        <w:outlineLvl w:val="9"/>
        <w:rPr>
          <w:rFonts w:hint="eastAsia" w:ascii="仿宋_GB2312" w:hAnsi="宋体" w:eastAsia="仿宋_GB2312" w:cs="宋体"/>
          <w:kern w:val="0"/>
          <w:sz w:val="30"/>
          <w:szCs w:val="30"/>
        </w:rPr>
      </w:pPr>
    </w:p>
    <w:p>
      <w:pPr>
        <w:keepNext w:val="0"/>
        <w:keepLines w:val="0"/>
        <w:pageBreakBefore w:val="0"/>
        <w:widowControl/>
        <w:kinsoku/>
        <w:wordWrap/>
        <w:overflowPunct/>
        <w:topLinePunct w:val="0"/>
        <w:autoSpaceDE/>
        <w:autoSpaceDN/>
        <w:bidi w:val="0"/>
        <w:adjustRightInd/>
        <w:snapToGrid/>
        <w:spacing w:line="560" w:lineRule="exact"/>
        <w:ind w:right="0" w:rightChars="0"/>
        <w:textAlignment w:val="auto"/>
        <w:outlineLvl w:val="9"/>
        <w:rPr>
          <w:rFonts w:hint="eastAsia" w:ascii="仿宋_GB2312" w:hAnsi="宋体" w:eastAsia="仿宋_GB2312" w:cs="宋体"/>
          <w:kern w:val="0"/>
          <w:sz w:val="30"/>
          <w:szCs w:val="30"/>
        </w:rPr>
      </w:pPr>
      <w:r>
        <w:rPr>
          <w:rFonts w:hint="eastAsia" w:ascii="仿宋_GB2312" w:hAnsi="宋体" w:eastAsia="仿宋_GB2312" w:cs="宋体"/>
          <w:kern w:val="0"/>
          <w:sz w:val="30"/>
          <w:szCs w:val="30"/>
        </w:rPr>
        <w:t>附件3：</w:t>
      </w:r>
    </w:p>
    <w:p>
      <w:pPr>
        <w:keepNext w:val="0"/>
        <w:keepLines w:val="0"/>
        <w:pageBreakBefore w:val="0"/>
        <w:widowControl/>
        <w:kinsoku/>
        <w:wordWrap/>
        <w:overflowPunct/>
        <w:topLinePunct w:val="0"/>
        <w:autoSpaceDE/>
        <w:autoSpaceDN/>
        <w:bidi w:val="0"/>
        <w:adjustRightInd/>
        <w:snapToGrid/>
        <w:spacing w:line="560" w:lineRule="exact"/>
        <w:ind w:right="0" w:rightChars="0"/>
        <w:jc w:val="center"/>
        <w:textAlignment w:val="auto"/>
        <w:outlineLvl w:val="9"/>
        <w:rPr>
          <w:rFonts w:hint="eastAsia" w:ascii="宋体" w:hAnsi="宋体" w:cs="宋体"/>
          <w:b/>
          <w:kern w:val="0"/>
          <w:sz w:val="36"/>
          <w:szCs w:val="36"/>
        </w:rPr>
      </w:pPr>
    </w:p>
    <w:p>
      <w:pPr>
        <w:keepNext w:val="0"/>
        <w:keepLines w:val="0"/>
        <w:pageBreakBefore w:val="0"/>
        <w:widowControl/>
        <w:kinsoku/>
        <w:wordWrap/>
        <w:overflowPunct/>
        <w:topLinePunct w:val="0"/>
        <w:autoSpaceDE/>
        <w:autoSpaceDN/>
        <w:bidi w:val="0"/>
        <w:adjustRightInd/>
        <w:snapToGrid/>
        <w:spacing w:line="560" w:lineRule="exact"/>
        <w:ind w:right="0" w:rightChars="0"/>
        <w:jc w:val="center"/>
        <w:textAlignment w:val="auto"/>
        <w:outlineLvl w:val="9"/>
        <w:rPr>
          <w:rFonts w:hint="eastAsia" w:ascii="宋体" w:hAnsi="宋体" w:cs="宋体"/>
          <w:b/>
          <w:kern w:val="0"/>
          <w:sz w:val="32"/>
          <w:szCs w:val="32"/>
        </w:rPr>
      </w:pPr>
      <w:r>
        <w:rPr>
          <w:rFonts w:hint="eastAsia" w:ascii="宋体" w:hAnsi="宋体" w:cs="宋体"/>
          <w:b/>
          <w:kern w:val="0"/>
          <w:sz w:val="32"/>
          <w:szCs w:val="32"/>
        </w:rPr>
        <w:t>关于工程量清单计价政府投资工程建设项目</w:t>
      </w:r>
    </w:p>
    <w:p>
      <w:pPr>
        <w:keepNext w:val="0"/>
        <w:keepLines w:val="0"/>
        <w:pageBreakBefore w:val="0"/>
        <w:widowControl/>
        <w:kinsoku/>
        <w:wordWrap/>
        <w:overflowPunct/>
        <w:topLinePunct w:val="0"/>
        <w:autoSpaceDE/>
        <w:autoSpaceDN/>
        <w:bidi w:val="0"/>
        <w:adjustRightInd/>
        <w:snapToGrid/>
        <w:spacing w:line="560" w:lineRule="exact"/>
        <w:ind w:right="0" w:rightChars="0"/>
        <w:jc w:val="center"/>
        <w:textAlignment w:val="auto"/>
        <w:outlineLvl w:val="9"/>
        <w:rPr>
          <w:rFonts w:hint="eastAsia" w:ascii="宋体" w:hAnsi="宋体" w:cs="宋体"/>
          <w:b/>
          <w:kern w:val="0"/>
          <w:sz w:val="32"/>
          <w:szCs w:val="32"/>
        </w:rPr>
      </w:pPr>
      <w:r>
        <w:rPr>
          <w:rFonts w:hint="eastAsia" w:ascii="宋体" w:hAnsi="宋体" w:cs="宋体"/>
          <w:b/>
          <w:kern w:val="0"/>
          <w:sz w:val="32"/>
          <w:szCs w:val="32"/>
        </w:rPr>
        <w:t>招标控制价评审实施意见</w:t>
      </w:r>
    </w:p>
    <w:p>
      <w:pPr>
        <w:keepNext w:val="0"/>
        <w:keepLines w:val="0"/>
        <w:pageBreakBefore w:val="0"/>
        <w:widowControl/>
        <w:kinsoku/>
        <w:wordWrap/>
        <w:overflowPunct/>
        <w:topLinePunct w:val="0"/>
        <w:autoSpaceDE/>
        <w:autoSpaceDN/>
        <w:bidi w:val="0"/>
        <w:adjustRightInd/>
        <w:snapToGrid/>
        <w:spacing w:line="560" w:lineRule="exact"/>
        <w:ind w:right="0" w:rightChars="0" w:firstLine="600" w:firstLineChars="200"/>
        <w:jc w:val="left"/>
        <w:textAlignment w:val="auto"/>
        <w:outlineLvl w:val="9"/>
        <w:rPr>
          <w:rFonts w:hint="eastAsia" w:ascii="仿宋_GB2312" w:eastAsia="仿宋_GB2312"/>
          <w:sz w:val="30"/>
          <w:szCs w:val="30"/>
        </w:rPr>
      </w:pPr>
    </w:p>
    <w:p>
      <w:pPr>
        <w:keepNext w:val="0"/>
        <w:keepLines w:val="0"/>
        <w:pageBreakBefore w:val="0"/>
        <w:widowControl/>
        <w:kinsoku/>
        <w:wordWrap/>
        <w:overflowPunct/>
        <w:topLinePunct w:val="0"/>
        <w:autoSpaceDE/>
        <w:autoSpaceDN/>
        <w:bidi w:val="0"/>
        <w:adjustRightInd/>
        <w:snapToGrid/>
        <w:spacing w:line="560" w:lineRule="exact"/>
        <w:ind w:right="0" w:rightChars="0" w:firstLine="600" w:firstLineChars="200"/>
        <w:jc w:val="left"/>
        <w:textAlignment w:val="auto"/>
        <w:outlineLvl w:val="9"/>
        <w:rPr>
          <w:rFonts w:hint="eastAsia" w:ascii="仿宋_GB2312" w:eastAsia="仿宋_GB2312"/>
          <w:sz w:val="30"/>
          <w:szCs w:val="30"/>
        </w:rPr>
      </w:pPr>
      <w:r>
        <w:rPr>
          <w:rFonts w:hint="eastAsia" w:ascii="仿宋_GB2312" w:eastAsia="仿宋_GB2312"/>
          <w:sz w:val="30"/>
          <w:szCs w:val="30"/>
        </w:rPr>
        <w:t>为贯彻落实《南昌市政府投资工程建设项目施工招标投标暂行办法》（洪府厅发[2010]105号）和《关于加强政府投资工程建设项目施工招投标监管工作的意见》（洪府发〔2010〕15号）精神，根据财政部《财政投资评审管理规定》（财建[2009]648号），对工程量清单计价政府投资工程建设项目招标控制价实行严格审查，现提出如下实施意见：</w:t>
      </w:r>
      <w:r>
        <w:rPr>
          <w:rFonts w:hint="eastAsia" w:ascii="仿宋_GB2312" w:eastAsia="仿宋_GB2312"/>
          <w:sz w:val="30"/>
          <w:szCs w:val="30"/>
        </w:rPr>
        <w:br w:type="textWrapping"/>
      </w:r>
      <w:r>
        <w:rPr>
          <w:rFonts w:hint="eastAsia" w:ascii="仿宋_GB2312" w:eastAsia="仿宋_GB2312"/>
          <w:sz w:val="30"/>
          <w:szCs w:val="30"/>
        </w:rPr>
        <w:t>　　一、 凡本市行政区域内政府投资工程项目，采用工程量清单计价方式进行招标投标的，招标人应当编制招标控制价，招标控制价不得超过工程概算。</w:t>
      </w:r>
    </w:p>
    <w:p>
      <w:pPr>
        <w:keepNext w:val="0"/>
        <w:keepLines w:val="0"/>
        <w:pageBreakBefore w:val="0"/>
        <w:widowControl/>
        <w:kinsoku/>
        <w:wordWrap/>
        <w:overflowPunct/>
        <w:topLinePunct w:val="0"/>
        <w:autoSpaceDE/>
        <w:autoSpaceDN/>
        <w:bidi w:val="0"/>
        <w:adjustRightInd/>
        <w:snapToGrid/>
        <w:spacing w:line="560" w:lineRule="exact"/>
        <w:ind w:right="0" w:rightChars="0" w:firstLine="600" w:firstLineChars="200"/>
        <w:jc w:val="left"/>
        <w:textAlignment w:val="auto"/>
        <w:outlineLvl w:val="9"/>
        <w:rPr>
          <w:rFonts w:hint="eastAsia" w:ascii="仿宋_GB2312" w:eastAsia="仿宋_GB2312"/>
          <w:sz w:val="30"/>
          <w:szCs w:val="30"/>
        </w:rPr>
      </w:pPr>
      <w:r>
        <w:rPr>
          <w:rFonts w:hint="eastAsia" w:ascii="仿宋_GB2312" w:eastAsia="仿宋_GB2312"/>
          <w:sz w:val="30"/>
          <w:szCs w:val="30"/>
        </w:rPr>
        <w:t>二、建设单位将编制好的工程量清单及招标控制价报市财政局组织评审。建设单位招标控制价评审报送的资料应该包括项目招标控制价送审报告、项目建议书及批复文件、项目可行性研究报告及批复文件、招标人编制或委托编制的招标控制价及电子文档、工程量清单、设计图纸及电子文档。</w:t>
      </w:r>
    </w:p>
    <w:p>
      <w:pPr>
        <w:keepNext w:val="0"/>
        <w:keepLines w:val="0"/>
        <w:pageBreakBefore w:val="0"/>
        <w:widowControl/>
        <w:kinsoku/>
        <w:wordWrap/>
        <w:overflowPunct/>
        <w:topLinePunct w:val="0"/>
        <w:autoSpaceDE/>
        <w:autoSpaceDN/>
        <w:bidi w:val="0"/>
        <w:adjustRightInd/>
        <w:snapToGrid/>
        <w:spacing w:line="560" w:lineRule="exact"/>
        <w:ind w:right="0" w:rightChars="0" w:firstLine="600" w:firstLineChars="200"/>
        <w:jc w:val="left"/>
        <w:textAlignment w:val="auto"/>
        <w:outlineLvl w:val="9"/>
        <w:rPr>
          <w:rFonts w:hint="eastAsia" w:ascii="仿宋_GB2312" w:eastAsia="仿宋_GB2312"/>
          <w:sz w:val="30"/>
          <w:szCs w:val="30"/>
        </w:rPr>
      </w:pPr>
      <w:r>
        <w:rPr>
          <w:rFonts w:hint="eastAsia" w:ascii="仿宋_GB2312" w:eastAsia="仿宋_GB2312"/>
          <w:sz w:val="30"/>
          <w:szCs w:val="30"/>
        </w:rPr>
        <w:t>三、市财政局接到建设单位报审资料后，由市财政局委托财政投资评审中心、工程所在地工程造价管理机构或通过招投标委托有资质的中介机构进行评审，评审机构应当按照公开、公平、公正的原则进行评审并出具评审报告，评审后的工程量清单及招标控制价作为招标文件的组成提供给招标人。</w:t>
      </w:r>
    </w:p>
    <w:p>
      <w:pPr>
        <w:keepNext w:val="0"/>
        <w:keepLines w:val="0"/>
        <w:pageBreakBefore w:val="0"/>
        <w:kinsoku/>
        <w:wordWrap/>
        <w:overflowPunct/>
        <w:topLinePunct w:val="0"/>
        <w:autoSpaceDE/>
        <w:autoSpaceDN/>
        <w:bidi w:val="0"/>
        <w:adjustRightInd/>
        <w:snapToGrid/>
        <w:spacing w:line="560" w:lineRule="exact"/>
        <w:ind w:right="0" w:rightChars="0" w:firstLine="600" w:firstLineChars="200"/>
        <w:textAlignment w:val="auto"/>
        <w:outlineLvl w:val="9"/>
        <w:rPr>
          <w:rFonts w:hint="eastAsia" w:ascii="仿宋_GB2312" w:eastAsia="仿宋_GB2312"/>
          <w:sz w:val="30"/>
          <w:szCs w:val="30"/>
        </w:rPr>
      </w:pPr>
      <w:r>
        <w:rPr>
          <w:rFonts w:hint="eastAsia" w:ascii="仿宋_GB2312" w:eastAsia="仿宋_GB2312"/>
          <w:sz w:val="30"/>
          <w:szCs w:val="30"/>
        </w:rPr>
        <w:t>四、招标控制价评审的时限原则上不超过10个工作日。</w:t>
      </w:r>
    </w:p>
    <w:p>
      <w:pPr>
        <w:keepNext w:val="0"/>
        <w:keepLines w:val="0"/>
        <w:pageBreakBefore w:val="0"/>
        <w:kinsoku/>
        <w:wordWrap/>
        <w:overflowPunct/>
        <w:topLinePunct w:val="0"/>
        <w:autoSpaceDE/>
        <w:autoSpaceDN/>
        <w:bidi w:val="0"/>
        <w:adjustRightInd/>
        <w:snapToGrid/>
        <w:spacing w:line="560" w:lineRule="exact"/>
        <w:ind w:right="0" w:rightChars="0" w:firstLine="600" w:firstLineChars="200"/>
        <w:textAlignment w:val="auto"/>
        <w:outlineLvl w:val="9"/>
        <w:rPr>
          <w:rFonts w:hint="eastAsia" w:ascii="仿宋_GB2312" w:eastAsia="仿宋_GB2312"/>
          <w:sz w:val="30"/>
          <w:szCs w:val="30"/>
        </w:rPr>
      </w:pPr>
      <w:r>
        <w:rPr>
          <w:rFonts w:hint="eastAsia" w:ascii="仿宋_GB2312" w:eastAsia="仿宋_GB2312"/>
          <w:sz w:val="30"/>
          <w:szCs w:val="30"/>
        </w:rPr>
        <w:t>五、评审机构在评审时限内出具评审意见后，建设单位在3个工作日内反馈并出具书面意见，若有异议，由财政部门组织会商确定，最后由评审机构出具评审报告并报财政部门确认。</w:t>
      </w:r>
    </w:p>
    <w:p>
      <w:pPr>
        <w:keepNext w:val="0"/>
        <w:keepLines w:val="0"/>
        <w:pageBreakBefore w:val="0"/>
        <w:kinsoku/>
        <w:wordWrap/>
        <w:overflowPunct/>
        <w:topLinePunct w:val="0"/>
        <w:autoSpaceDE/>
        <w:autoSpaceDN/>
        <w:bidi w:val="0"/>
        <w:adjustRightInd/>
        <w:snapToGrid/>
        <w:spacing w:line="560" w:lineRule="exact"/>
        <w:ind w:right="0" w:rightChars="0" w:firstLine="600" w:firstLineChars="200"/>
        <w:textAlignment w:val="auto"/>
        <w:outlineLvl w:val="9"/>
        <w:rPr>
          <w:rFonts w:hint="eastAsia" w:ascii="仿宋_GB2312" w:eastAsia="仿宋_GB2312"/>
          <w:sz w:val="30"/>
          <w:szCs w:val="30"/>
        </w:rPr>
      </w:pPr>
      <w:r>
        <w:rPr>
          <w:rFonts w:hint="eastAsia" w:ascii="仿宋_GB2312" w:eastAsia="仿宋_GB2312"/>
          <w:sz w:val="30"/>
          <w:szCs w:val="30"/>
        </w:rPr>
        <w:t>六、项目招标核准部门比对财政部门审定的招标控制价和项目工程概算批复文件，核准招标金额，项目进入招投标程序。</w:t>
      </w:r>
    </w:p>
    <w:p>
      <w:pPr>
        <w:keepNext w:val="0"/>
        <w:keepLines w:val="0"/>
        <w:pageBreakBefore w:val="0"/>
        <w:kinsoku/>
        <w:wordWrap/>
        <w:overflowPunct/>
        <w:topLinePunct w:val="0"/>
        <w:autoSpaceDE/>
        <w:autoSpaceDN/>
        <w:bidi w:val="0"/>
        <w:adjustRightInd/>
        <w:snapToGrid/>
        <w:spacing w:line="560" w:lineRule="exact"/>
        <w:ind w:right="0" w:rightChars="0" w:firstLine="600" w:firstLineChars="200"/>
        <w:textAlignment w:val="auto"/>
        <w:outlineLvl w:val="9"/>
        <w:rPr>
          <w:rFonts w:hint="eastAsia" w:ascii="仿宋_GB2312" w:hAnsi="ˎ̥" w:eastAsia="仿宋_GB2312" w:cs="宋体"/>
          <w:color w:val="000000"/>
          <w:kern w:val="0"/>
          <w:sz w:val="30"/>
          <w:szCs w:val="30"/>
        </w:rPr>
      </w:pPr>
      <w:r>
        <w:rPr>
          <w:rFonts w:hint="eastAsia" w:ascii="仿宋_GB2312" w:eastAsia="仿宋_GB2312"/>
          <w:sz w:val="30"/>
          <w:szCs w:val="30"/>
        </w:rPr>
        <w:t>七、本意见由南昌</w:t>
      </w:r>
      <w:r>
        <w:rPr>
          <w:rFonts w:hint="eastAsia" w:ascii="仿宋_GB2312" w:hAnsi="ˎ̥" w:eastAsia="仿宋_GB2312" w:cs="宋体"/>
          <w:color w:val="000000"/>
          <w:kern w:val="0"/>
          <w:sz w:val="30"/>
          <w:szCs w:val="30"/>
        </w:rPr>
        <w:t>市财政局负责</w:t>
      </w:r>
      <w:r>
        <w:rPr>
          <w:rFonts w:hint="eastAsia" w:ascii="仿宋_GB2312" w:eastAsia="仿宋_GB2312"/>
          <w:sz w:val="30"/>
          <w:szCs w:val="30"/>
        </w:rPr>
        <w:t>解释，从2010年10月1</w:t>
      </w:r>
      <w:r>
        <w:rPr>
          <w:rFonts w:hint="eastAsia" w:ascii="仿宋_GB2312" w:hAnsi="ˎ̥" w:eastAsia="仿宋_GB2312" w:cs="宋体"/>
          <w:color w:val="000000"/>
          <w:kern w:val="0"/>
          <w:sz w:val="30"/>
          <w:szCs w:val="30"/>
        </w:rPr>
        <w:t>日起施行。</w:t>
      </w:r>
    </w:p>
    <w:p>
      <w:pPr>
        <w:keepNext w:val="0"/>
        <w:keepLines w:val="0"/>
        <w:pageBreakBefore w:val="0"/>
        <w:kinsoku/>
        <w:wordWrap/>
        <w:overflowPunct/>
        <w:topLinePunct w:val="0"/>
        <w:autoSpaceDE/>
        <w:autoSpaceDN/>
        <w:bidi w:val="0"/>
        <w:adjustRightInd/>
        <w:snapToGrid/>
        <w:spacing w:line="560" w:lineRule="exact"/>
        <w:ind w:right="0" w:rightChars="0"/>
        <w:textAlignment w:val="auto"/>
        <w:outlineLvl w:val="9"/>
      </w:pPr>
      <w:bookmarkStart w:id="0" w:name="_GoBack"/>
      <w:bookmarkEnd w:id="0"/>
    </w:p>
    <w:p>
      <w:pPr>
        <w:keepNext w:val="0"/>
        <w:keepLines w:val="0"/>
        <w:pageBreakBefore w:val="0"/>
        <w:kinsoku/>
        <w:wordWrap/>
        <w:overflowPunct/>
        <w:topLinePunct w:val="0"/>
        <w:autoSpaceDE/>
        <w:autoSpaceDN/>
        <w:bidi w:val="0"/>
        <w:adjustRightInd/>
        <w:snapToGrid/>
        <w:spacing w:line="560" w:lineRule="exact"/>
        <w:ind w:right="0" w:rightChars="0" w:firstLine="600" w:firstLineChars="200"/>
        <w:textAlignment w:val="auto"/>
        <w:outlineLvl w:val="9"/>
        <w:rPr>
          <w:rFonts w:hint="eastAsia" w:ascii="仿宋_GB2312" w:hAnsi="宋体" w:eastAsia="仿宋_GB2312" w:cs="宋体"/>
          <w:color w:val="000000"/>
          <w:kern w:val="0"/>
          <w:sz w:val="30"/>
          <w:szCs w:val="30"/>
        </w:rPr>
      </w:pPr>
    </w:p>
    <w:p>
      <w:pPr>
        <w:rPr>
          <w:rFonts w:hint="eastAsia" w:eastAsiaTheme="minorEastAsia"/>
          <w:lang w:eastAsia="zh-CN"/>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Arial">
    <w:panose1 w:val="020B0604020202020204"/>
    <w:charset w:val="00"/>
    <w:family w:val="swiss"/>
    <w:pitch w:val="default"/>
    <w:sig w:usb0="E0002AFF" w:usb1="C0007843" w:usb2="00000009" w:usb3="00000000" w:csb0="400001FF" w:csb1="FFFF0000"/>
  </w:font>
  <w:font w:name="仿宋">
    <w:panose1 w:val="02010609060101010101"/>
    <w:charset w:val="86"/>
    <w:family w:val="auto"/>
    <w:pitch w:val="default"/>
    <w:sig w:usb0="800002BF" w:usb1="38CF7CFA" w:usb2="00000016" w:usb3="00000000" w:csb0="00040001" w:csb1="00000000"/>
  </w:font>
  <w:font w:name="仿宋_GB2312">
    <w:altName w:val="仿宋"/>
    <w:panose1 w:val="00000000000000000000"/>
    <w:charset w:val="00"/>
    <w:family w:val="auto"/>
    <w:pitch w:val="default"/>
    <w:sig w:usb0="00000000" w:usb1="00000000" w:usb2="00000000" w:usb3="00000000" w:csb0="00000000" w:csb1="00000000"/>
  </w:font>
  <w:font w:name="Verdana">
    <w:panose1 w:val="020B0604030504040204"/>
    <w:charset w:val="00"/>
    <w:family w:val="swiss"/>
    <w:pitch w:val="default"/>
    <w:sig w:usb0="A1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00001" w:csb1="00000000"/>
  </w:font>
  <w:font w:name="Verdana,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eastAsiaTheme="minorEastAsia"/>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1</w:t>
                          </w:r>
                          <w:r>
                            <w:rPr>
                              <w:rFonts w:hint="eastAsia"/>
                              <w:sz w:val="1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">
              <v:fill on="f" focussize="0,0"/>
              <v:stroke on="f" weight="0.5pt"/>
              <v:imagedata o:title=""/>
              <o:lock v:ext="edit" aspectratio="f"/>
              <v:textbox inset="0mm,0mm,0mm,0mm" style="mso-fit-shape-to-text:t;">
                <w:txbxContent>
                  <w:p>
                    <w:pPr>
                      <w:snapToGrid w:val="0"/>
                      <w:rPr>
                        <w:rFonts w:hint="eastAsia" w:eastAsiaTheme="minorEastAsia"/>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1</w:t>
                    </w:r>
                    <w:r>
                      <w:rPr>
                        <w:rFonts w:hint="eastAsia"/>
                        <w:sz w:val="18"/>
                        <w:lang w:eastAsia="zh-CN"/>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620660E"/>
    <w:rsid w:val="1CEC1582"/>
    <w:rsid w:val="2620660E"/>
    <w:rsid w:val="76203B99"/>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6">
    <w:name w:val="Normal Table"/>
    <w:semiHidden/>
    <w:uiPriority w:val="0"/>
    <w:tblPr>
      <w:tblLayout w:type="fixed"/>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szCs w:val="18"/>
    </w:rPr>
  </w:style>
  <w:style w:type="paragraph" w:styleId="3">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character" w:styleId="5">
    <w:name w:val="page number"/>
    <w:basedOn w:val="4"/>
    <w:uiPriority w:val="0"/>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Office_10.1.0.6490_F1E327BC-269C-435d-A152-05C5408002CA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2017-06-02T01:33:00Z</dcterms:created>
  <dc:creator>chenjie</dc:creator>
  <cp:lastModifiedBy>chenjie</cp:lastModifiedBy>
  <dcterms:modified xsi:type="dcterms:W3CDTF">2017-06-02T01:36:21Z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2052-10.1.0.6490</vt:lpwstr>
  </property>
</Properties>
</file>